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6" w:type="dxa"/>
        <w:tblInd w:w="108" w:type="dxa"/>
        <w:tblLook w:val="04A0" w:firstRow="1" w:lastRow="0" w:firstColumn="1" w:lastColumn="0" w:noHBand="0" w:noVBand="1"/>
      </w:tblPr>
      <w:tblGrid>
        <w:gridCol w:w="3954"/>
        <w:gridCol w:w="5332"/>
      </w:tblGrid>
      <w:tr w:rsidR="006F37D0" w:rsidRPr="00A97263" w14:paraId="020D20BE" w14:textId="77777777" w:rsidTr="00F26854">
        <w:trPr>
          <w:trHeight w:val="1757"/>
        </w:trPr>
        <w:tc>
          <w:tcPr>
            <w:tcW w:w="3369" w:type="dxa"/>
            <w:tcBorders>
              <w:left w:val="single" w:sz="48" w:space="0" w:color="BC9E6E"/>
            </w:tcBorders>
            <w:shd w:val="clear" w:color="auto" w:fill="auto"/>
            <w:vAlign w:val="center"/>
          </w:tcPr>
          <w:p w14:paraId="322F21A0" w14:textId="77777777" w:rsidR="00C711D6" w:rsidRPr="00A97263" w:rsidRDefault="00B112AF" w:rsidP="006A118C">
            <w:pPr>
              <w:pStyle w:val="Heading6"/>
              <w:rPr>
                <w:noProof/>
                <w:lang w:eastAsia="en-GB"/>
              </w:rPr>
            </w:pPr>
            <w:r w:rsidRPr="00A97263">
              <w:rPr>
                <w:noProof/>
                <w:lang w:val="en-US" w:eastAsia="en-US"/>
              </w:rPr>
              <w:drawing>
                <wp:inline distT="0" distB="0" distL="0" distR="0" wp14:anchorId="1E3A04AF" wp14:editId="32D25F54">
                  <wp:extent cx="1617345" cy="873760"/>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7345" cy="873760"/>
                          </a:xfrm>
                          <a:prstGeom prst="rect">
                            <a:avLst/>
                          </a:prstGeom>
                          <a:noFill/>
                          <a:ln>
                            <a:noFill/>
                          </a:ln>
                        </pic:spPr>
                      </pic:pic>
                    </a:graphicData>
                  </a:graphic>
                </wp:inline>
              </w:drawing>
            </w:r>
          </w:p>
        </w:tc>
        <w:tc>
          <w:tcPr>
            <w:tcW w:w="5917" w:type="dxa"/>
            <w:shd w:val="clear" w:color="auto" w:fill="auto"/>
          </w:tcPr>
          <w:p w14:paraId="5529D409" w14:textId="77777777" w:rsidR="00375D2B" w:rsidRPr="00A97263" w:rsidRDefault="00375D2B" w:rsidP="00375D2B">
            <w:pPr>
              <w:pStyle w:val="Heading1"/>
              <w:jc w:val="right"/>
              <w:rPr>
                <w:b/>
                <w:i w:val="0"/>
                <w:noProof/>
                <w:sz w:val="32"/>
                <w:szCs w:val="22"/>
                <w:u w:val="none"/>
                <w:lang w:eastAsia="en-GB"/>
              </w:rPr>
            </w:pPr>
          </w:p>
          <w:p w14:paraId="40B8401A" w14:textId="77777777" w:rsidR="00375D2B" w:rsidRPr="00A97263" w:rsidRDefault="00375D2B" w:rsidP="00375D2B">
            <w:pPr>
              <w:pStyle w:val="Heading1"/>
              <w:jc w:val="right"/>
              <w:rPr>
                <w:b/>
                <w:i w:val="0"/>
                <w:noProof/>
                <w:color w:val="00205B"/>
                <w:sz w:val="28"/>
                <w:szCs w:val="22"/>
                <w:u w:val="none"/>
                <w:lang w:eastAsia="en-GB"/>
              </w:rPr>
            </w:pPr>
            <w:r w:rsidRPr="00A97263">
              <w:rPr>
                <w:b/>
                <w:i w:val="0"/>
                <w:noProof/>
                <w:color w:val="00205B"/>
                <w:sz w:val="28"/>
                <w:szCs w:val="22"/>
                <w:u w:val="none"/>
                <w:lang w:eastAsia="en-GB"/>
              </w:rPr>
              <w:t xml:space="preserve">ΔΕΛΤΙΟ ΤΥΠΟΥ </w:t>
            </w:r>
          </w:p>
          <w:p w14:paraId="777FEF52" w14:textId="77777777" w:rsidR="00C711D6" w:rsidRPr="00A97263" w:rsidRDefault="00293D3D" w:rsidP="00DF47F2">
            <w:pPr>
              <w:pStyle w:val="Heading1"/>
              <w:ind w:firstLine="0"/>
              <w:jc w:val="right"/>
              <w:rPr>
                <w:i w:val="0"/>
                <w:noProof/>
                <w:szCs w:val="22"/>
                <w:u w:val="none"/>
                <w:lang w:eastAsia="en-GB"/>
              </w:rPr>
            </w:pPr>
            <w:r w:rsidRPr="00A97263">
              <w:rPr>
                <w:i w:val="0"/>
                <w:noProof/>
                <w:color w:val="00205B"/>
                <w:szCs w:val="22"/>
                <w:u w:val="none"/>
                <w:lang w:eastAsia="en-GB"/>
              </w:rPr>
              <w:t xml:space="preserve">Αθήνα, </w:t>
            </w:r>
            <w:r w:rsidR="00310BDF" w:rsidRPr="003138C9">
              <w:rPr>
                <w:i w:val="0"/>
                <w:noProof/>
                <w:color w:val="00205B"/>
                <w:szCs w:val="22"/>
                <w:u w:val="none"/>
                <w:lang w:eastAsia="en-GB"/>
              </w:rPr>
              <w:t>2</w:t>
            </w:r>
            <w:r w:rsidR="00DF47F2" w:rsidRPr="003138C9">
              <w:rPr>
                <w:i w:val="0"/>
                <w:noProof/>
                <w:color w:val="00205B"/>
                <w:szCs w:val="22"/>
                <w:u w:val="none"/>
                <w:lang w:eastAsia="en-GB"/>
              </w:rPr>
              <w:t>2</w:t>
            </w:r>
            <w:r w:rsidR="00FE6E6A" w:rsidRPr="003138C9">
              <w:rPr>
                <w:i w:val="0"/>
                <w:noProof/>
                <w:color w:val="00205B"/>
                <w:szCs w:val="22"/>
                <w:u w:val="none"/>
                <w:lang w:eastAsia="en-GB"/>
              </w:rPr>
              <w:t xml:space="preserve"> </w:t>
            </w:r>
            <w:r w:rsidR="00DF47F2" w:rsidRPr="003138C9">
              <w:rPr>
                <w:i w:val="0"/>
                <w:noProof/>
                <w:color w:val="00205B"/>
                <w:szCs w:val="22"/>
                <w:u w:val="none"/>
                <w:lang w:eastAsia="en-GB"/>
              </w:rPr>
              <w:t>Οκτωβρίου</w:t>
            </w:r>
            <w:r w:rsidR="0033210B" w:rsidRPr="00A97263">
              <w:rPr>
                <w:i w:val="0"/>
                <w:noProof/>
                <w:color w:val="00205B"/>
                <w:szCs w:val="22"/>
                <w:u w:val="none"/>
                <w:lang w:eastAsia="en-GB"/>
              </w:rPr>
              <w:t xml:space="preserve"> </w:t>
            </w:r>
            <w:r w:rsidR="00375D2B" w:rsidRPr="00A97263">
              <w:rPr>
                <w:i w:val="0"/>
                <w:noProof/>
                <w:color w:val="00205B"/>
                <w:szCs w:val="22"/>
                <w:u w:val="none"/>
                <w:lang w:eastAsia="en-GB"/>
              </w:rPr>
              <w:t>202</w:t>
            </w:r>
            <w:r w:rsidR="00310BDF" w:rsidRPr="00A97263">
              <w:rPr>
                <w:i w:val="0"/>
                <w:noProof/>
                <w:color w:val="00205B"/>
                <w:szCs w:val="22"/>
                <w:u w:val="none"/>
                <w:lang w:eastAsia="en-GB"/>
              </w:rPr>
              <w:t>4</w:t>
            </w:r>
          </w:p>
        </w:tc>
      </w:tr>
    </w:tbl>
    <w:p w14:paraId="4CADC78E" w14:textId="77777777" w:rsidR="00C711D6" w:rsidRPr="00A97263" w:rsidRDefault="00C711D6" w:rsidP="00C711D6">
      <w:pPr>
        <w:pStyle w:val="Heading1"/>
        <w:ind w:firstLine="0"/>
        <w:jc w:val="center"/>
        <w:rPr>
          <w:i w:val="0"/>
          <w:noProof/>
          <w:szCs w:val="22"/>
          <w:u w:val="none"/>
          <w:lang w:eastAsia="en-GB"/>
        </w:rPr>
      </w:pPr>
    </w:p>
    <w:p w14:paraId="41CD64B6" w14:textId="77777777" w:rsidR="001D39AC" w:rsidRPr="00A97263" w:rsidRDefault="001D39AC" w:rsidP="000A01CF">
      <w:pPr>
        <w:rPr>
          <w:lang w:val="el-GR" w:eastAsia="en-GB"/>
        </w:rPr>
      </w:pPr>
    </w:p>
    <w:p w14:paraId="7F9D6797" w14:textId="77777777" w:rsidR="00906441" w:rsidRPr="00A97263" w:rsidRDefault="00293D3D" w:rsidP="00F25B96">
      <w:pPr>
        <w:pStyle w:val="Heading6"/>
        <w:tabs>
          <w:tab w:val="left" w:pos="4680"/>
          <w:tab w:val="left" w:pos="8100"/>
        </w:tabs>
        <w:spacing w:after="120" w:line="276" w:lineRule="auto"/>
        <w:ind w:left="0" w:right="-2"/>
        <w:rPr>
          <w:b/>
          <w:i w:val="0"/>
          <w:color w:val="00205B"/>
          <w:sz w:val="32"/>
          <w:szCs w:val="32"/>
        </w:rPr>
      </w:pPr>
      <w:r w:rsidRPr="00A97263">
        <w:rPr>
          <w:b/>
          <w:i w:val="0"/>
          <w:color w:val="00205B"/>
          <w:sz w:val="32"/>
          <w:szCs w:val="32"/>
        </w:rPr>
        <w:t xml:space="preserve">Έκθεση Χρηματοπιστωτικής Σταθερότητας </w:t>
      </w:r>
      <w:r w:rsidR="00DF47F2" w:rsidRPr="00A97263">
        <w:rPr>
          <w:b/>
          <w:i w:val="0"/>
          <w:color w:val="00205B"/>
          <w:sz w:val="32"/>
          <w:szCs w:val="32"/>
        </w:rPr>
        <w:t>– Οκτώβριο</w:t>
      </w:r>
      <w:r w:rsidR="00310BDF" w:rsidRPr="00A97263">
        <w:rPr>
          <w:b/>
          <w:i w:val="0"/>
          <w:color w:val="00205B"/>
          <w:sz w:val="32"/>
          <w:szCs w:val="32"/>
        </w:rPr>
        <w:t xml:space="preserve">ς </w:t>
      </w:r>
      <w:r w:rsidR="0033210B" w:rsidRPr="00A97263">
        <w:rPr>
          <w:b/>
          <w:i w:val="0"/>
          <w:color w:val="00205B"/>
          <w:sz w:val="32"/>
          <w:szCs w:val="32"/>
        </w:rPr>
        <w:t>202</w:t>
      </w:r>
      <w:r w:rsidR="00310BDF" w:rsidRPr="00A97263">
        <w:rPr>
          <w:b/>
          <w:i w:val="0"/>
          <w:color w:val="00205B"/>
          <w:sz w:val="32"/>
          <w:szCs w:val="32"/>
        </w:rPr>
        <w:t>4</w:t>
      </w:r>
    </w:p>
    <w:p w14:paraId="549C0503" w14:textId="77777777" w:rsidR="001D39AC" w:rsidRPr="00A97263" w:rsidRDefault="001D39AC" w:rsidP="000A01CF">
      <w:pPr>
        <w:rPr>
          <w:highlight w:val="yellow"/>
          <w:lang w:val="el-GR"/>
        </w:rPr>
      </w:pPr>
    </w:p>
    <w:p w14:paraId="0079395B" w14:textId="77777777" w:rsidR="001D39AC" w:rsidRPr="00A97263" w:rsidRDefault="001D39AC" w:rsidP="000A01CF">
      <w:pPr>
        <w:rPr>
          <w:highlight w:val="yellow"/>
          <w:lang w:val="el-GR"/>
        </w:rPr>
      </w:pPr>
    </w:p>
    <w:p w14:paraId="459A15CD" w14:textId="61BD7584" w:rsidR="00800120" w:rsidRDefault="00C33541" w:rsidP="00D75098">
      <w:pPr>
        <w:numPr>
          <w:ilvl w:val="0"/>
          <w:numId w:val="5"/>
        </w:numPr>
        <w:spacing w:line="360" w:lineRule="auto"/>
        <w:ind w:left="284"/>
        <w:jc w:val="both"/>
        <w:rPr>
          <w:sz w:val="22"/>
          <w:szCs w:val="22"/>
          <w:lang w:val="el-GR"/>
        </w:rPr>
      </w:pPr>
      <w:r w:rsidRPr="00C33541">
        <w:rPr>
          <w:sz w:val="22"/>
          <w:szCs w:val="22"/>
          <w:lang w:val="el-GR"/>
        </w:rPr>
        <w:t xml:space="preserve">Οι κίνδυνοι για τη χρηματοπιστωτική σταθερότητα </w:t>
      </w:r>
      <w:r>
        <w:rPr>
          <w:sz w:val="22"/>
          <w:szCs w:val="22"/>
          <w:lang w:val="el-GR"/>
        </w:rPr>
        <w:t xml:space="preserve">στην Ελλάδα είναι κυρίως εξωγενείς, </w:t>
      </w:r>
      <w:r w:rsidRPr="00C33541">
        <w:rPr>
          <w:sz w:val="22"/>
          <w:szCs w:val="22"/>
          <w:lang w:val="el-GR"/>
        </w:rPr>
        <w:t xml:space="preserve">όπως </w:t>
      </w:r>
      <w:r w:rsidR="00C03BA8" w:rsidRPr="00C33541">
        <w:rPr>
          <w:sz w:val="22"/>
          <w:szCs w:val="22"/>
          <w:lang w:val="el-GR"/>
        </w:rPr>
        <w:t xml:space="preserve">οι </w:t>
      </w:r>
      <w:r w:rsidR="00C03BA8">
        <w:rPr>
          <w:sz w:val="22"/>
          <w:szCs w:val="22"/>
          <w:lang w:val="el-GR"/>
        </w:rPr>
        <w:t xml:space="preserve">αυξημένοι </w:t>
      </w:r>
      <w:r w:rsidR="00C03BA8" w:rsidRPr="00800120">
        <w:rPr>
          <w:sz w:val="22"/>
          <w:szCs w:val="22"/>
          <w:lang w:val="el-GR"/>
        </w:rPr>
        <w:t>γεωπολιτικ</w:t>
      </w:r>
      <w:r w:rsidR="00C03BA8">
        <w:rPr>
          <w:sz w:val="22"/>
          <w:szCs w:val="22"/>
          <w:lang w:val="el-GR"/>
        </w:rPr>
        <w:t xml:space="preserve">οί </w:t>
      </w:r>
      <w:r w:rsidR="00C03BA8" w:rsidRPr="00800120">
        <w:rPr>
          <w:sz w:val="22"/>
          <w:szCs w:val="22"/>
          <w:lang w:val="el-GR"/>
        </w:rPr>
        <w:t>κίνδυνο</w:t>
      </w:r>
      <w:r w:rsidR="00C03BA8">
        <w:rPr>
          <w:sz w:val="22"/>
          <w:szCs w:val="22"/>
          <w:lang w:val="el-GR"/>
        </w:rPr>
        <w:t xml:space="preserve">ι </w:t>
      </w:r>
      <w:r w:rsidR="0065306B">
        <w:rPr>
          <w:sz w:val="22"/>
          <w:szCs w:val="22"/>
          <w:lang w:val="el-GR"/>
        </w:rPr>
        <w:t>και ο κίνδυνος απότομης ανατιμολόγησης των περιουσιακών στοιχείων στις διεθνείς αγορές χρήματος και κεφαλαίων</w:t>
      </w:r>
      <w:r w:rsidR="00800120" w:rsidRPr="00800120">
        <w:rPr>
          <w:sz w:val="22"/>
          <w:szCs w:val="22"/>
          <w:lang w:val="el-GR"/>
        </w:rPr>
        <w:t xml:space="preserve">. </w:t>
      </w:r>
    </w:p>
    <w:p w14:paraId="023176EE" w14:textId="49B133C6" w:rsidR="00971E00" w:rsidRDefault="00A0696D" w:rsidP="00B62D0A">
      <w:pPr>
        <w:numPr>
          <w:ilvl w:val="0"/>
          <w:numId w:val="5"/>
        </w:numPr>
        <w:spacing w:line="360" w:lineRule="auto"/>
        <w:ind w:left="284"/>
        <w:jc w:val="both"/>
        <w:rPr>
          <w:sz w:val="22"/>
          <w:szCs w:val="22"/>
          <w:lang w:val="el-GR"/>
        </w:rPr>
      </w:pPr>
      <w:r w:rsidRPr="00962189">
        <w:rPr>
          <w:sz w:val="22"/>
          <w:szCs w:val="22"/>
          <w:lang w:val="el-GR"/>
        </w:rPr>
        <w:t xml:space="preserve">Το </w:t>
      </w:r>
      <w:r w:rsidR="006F09F3" w:rsidRPr="00962189">
        <w:rPr>
          <w:sz w:val="22"/>
          <w:szCs w:val="22"/>
          <w:lang w:val="el-GR"/>
        </w:rPr>
        <w:t>πρώτο εξάμηνο</w:t>
      </w:r>
      <w:r w:rsidR="00DD7E54">
        <w:rPr>
          <w:sz w:val="22"/>
          <w:szCs w:val="22"/>
          <w:lang w:val="el-GR"/>
        </w:rPr>
        <w:t xml:space="preserve"> του 2024</w:t>
      </w:r>
      <w:r w:rsidR="006F09F3" w:rsidRPr="00962189">
        <w:rPr>
          <w:sz w:val="22"/>
          <w:szCs w:val="22"/>
          <w:lang w:val="el-GR"/>
        </w:rPr>
        <w:t xml:space="preserve"> οι ελληνικές τράπεζες ενίσχυσαν σημαντικά την οργανική τους κερδοφορία</w:t>
      </w:r>
      <w:r w:rsidR="00971E00">
        <w:rPr>
          <w:sz w:val="22"/>
          <w:szCs w:val="22"/>
          <w:lang w:val="el-GR"/>
        </w:rPr>
        <w:t xml:space="preserve"> και </w:t>
      </w:r>
      <w:r w:rsidR="00800120" w:rsidRPr="00962189">
        <w:rPr>
          <w:sz w:val="22"/>
          <w:szCs w:val="22"/>
          <w:lang w:val="el-GR"/>
        </w:rPr>
        <w:t xml:space="preserve">διατήρησαν </w:t>
      </w:r>
      <w:r w:rsidR="00776434" w:rsidRPr="00962189">
        <w:rPr>
          <w:sz w:val="22"/>
          <w:szCs w:val="22"/>
          <w:lang w:val="el-GR"/>
        </w:rPr>
        <w:t>σε ικανοποιητικ</w:t>
      </w:r>
      <w:r w:rsidR="00104CA2">
        <w:rPr>
          <w:sz w:val="22"/>
          <w:szCs w:val="22"/>
          <w:lang w:val="el-GR"/>
        </w:rPr>
        <w:t>ό</w:t>
      </w:r>
      <w:r w:rsidR="00776434" w:rsidRPr="00962189">
        <w:rPr>
          <w:sz w:val="22"/>
          <w:szCs w:val="22"/>
          <w:lang w:val="el-GR"/>
        </w:rPr>
        <w:t xml:space="preserve"> επίπεδ</w:t>
      </w:r>
      <w:r w:rsidR="00104CA2">
        <w:rPr>
          <w:sz w:val="22"/>
          <w:szCs w:val="22"/>
          <w:lang w:val="el-GR"/>
        </w:rPr>
        <w:t>ο</w:t>
      </w:r>
      <w:r w:rsidR="00776434" w:rsidRPr="00962189">
        <w:rPr>
          <w:sz w:val="22"/>
          <w:szCs w:val="22"/>
          <w:lang w:val="el-GR"/>
        </w:rPr>
        <w:t xml:space="preserve"> </w:t>
      </w:r>
      <w:r w:rsidR="00962189">
        <w:rPr>
          <w:sz w:val="22"/>
          <w:szCs w:val="22"/>
          <w:lang w:val="el-GR"/>
        </w:rPr>
        <w:t xml:space="preserve">τη ρευστότητα και </w:t>
      </w:r>
      <w:r w:rsidR="00800120" w:rsidRPr="00962189">
        <w:rPr>
          <w:sz w:val="22"/>
          <w:szCs w:val="22"/>
          <w:lang w:val="el-GR"/>
        </w:rPr>
        <w:t>την κεφαλαιακή τους επάρκεια</w:t>
      </w:r>
      <w:r w:rsidR="00971E00">
        <w:rPr>
          <w:sz w:val="22"/>
          <w:szCs w:val="22"/>
          <w:lang w:val="el-GR"/>
        </w:rPr>
        <w:t>.</w:t>
      </w:r>
    </w:p>
    <w:p w14:paraId="3EAC3545" w14:textId="18817207" w:rsidR="00DD7E54" w:rsidRDefault="0065306B" w:rsidP="00DD7E54">
      <w:pPr>
        <w:numPr>
          <w:ilvl w:val="0"/>
          <w:numId w:val="5"/>
        </w:numPr>
        <w:spacing w:line="360" w:lineRule="auto"/>
        <w:ind w:left="284"/>
        <w:jc w:val="both"/>
        <w:rPr>
          <w:sz w:val="22"/>
          <w:szCs w:val="22"/>
          <w:lang w:val="el-GR"/>
        </w:rPr>
      </w:pPr>
      <w:r>
        <w:rPr>
          <w:sz w:val="22"/>
          <w:szCs w:val="22"/>
          <w:lang w:val="el-GR"/>
        </w:rPr>
        <w:t>Οι προοπτικές για τον ελληνικό τραπεζικό τομέα διαγράφονται θετικές, ωστόσο ο</w:t>
      </w:r>
      <w:r w:rsidR="00FF3E82">
        <w:rPr>
          <w:sz w:val="22"/>
          <w:szCs w:val="22"/>
          <w:lang w:val="el-GR"/>
        </w:rPr>
        <w:t xml:space="preserve">ι ενέργειες για την οριστική εκκαθάριση του </w:t>
      </w:r>
      <w:r w:rsidR="00D75098">
        <w:rPr>
          <w:sz w:val="22"/>
          <w:szCs w:val="22"/>
          <w:lang w:val="el-GR"/>
        </w:rPr>
        <w:t xml:space="preserve">εναπομείναντος </w:t>
      </w:r>
      <w:r w:rsidR="00FF3E82">
        <w:rPr>
          <w:sz w:val="22"/>
          <w:szCs w:val="22"/>
          <w:lang w:val="el-GR"/>
        </w:rPr>
        <w:t xml:space="preserve">αποθέματος </w:t>
      </w:r>
      <w:r w:rsidR="0080187E">
        <w:rPr>
          <w:sz w:val="22"/>
          <w:szCs w:val="22"/>
          <w:lang w:val="el-GR"/>
        </w:rPr>
        <w:t xml:space="preserve">μη εξυπηρετούμενων δανείων </w:t>
      </w:r>
      <w:r w:rsidR="00FF3E82">
        <w:rPr>
          <w:sz w:val="22"/>
          <w:szCs w:val="22"/>
          <w:lang w:val="el-GR"/>
        </w:rPr>
        <w:t>πρέπει να συνεχιστούν</w:t>
      </w:r>
      <w:r w:rsidR="00B20812">
        <w:rPr>
          <w:sz w:val="22"/>
          <w:szCs w:val="22"/>
          <w:lang w:val="el-GR"/>
        </w:rPr>
        <w:t>,</w:t>
      </w:r>
      <w:r w:rsidR="00D75098">
        <w:rPr>
          <w:sz w:val="22"/>
          <w:szCs w:val="22"/>
          <w:lang w:val="el-GR"/>
        </w:rPr>
        <w:t xml:space="preserve"> </w:t>
      </w:r>
      <w:r w:rsidR="0080187E">
        <w:rPr>
          <w:sz w:val="22"/>
          <w:szCs w:val="22"/>
          <w:lang w:val="el-GR"/>
        </w:rPr>
        <w:t xml:space="preserve">ώστε </w:t>
      </w:r>
      <w:r w:rsidR="00D75098">
        <w:rPr>
          <w:sz w:val="22"/>
          <w:szCs w:val="22"/>
          <w:lang w:val="el-GR"/>
        </w:rPr>
        <w:t>να επιτευχθεί η σύγκλιση με τον ευρωπαϊκό μέσο όρο</w:t>
      </w:r>
      <w:r w:rsidR="00971E00">
        <w:rPr>
          <w:sz w:val="22"/>
          <w:szCs w:val="22"/>
          <w:lang w:val="el-GR"/>
        </w:rPr>
        <w:t>.</w:t>
      </w:r>
      <w:r w:rsidR="00FF3E82">
        <w:rPr>
          <w:sz w:val="22"/>
          <w:szCs w:val="22"/>
          <w:lang w:val="el-GR"/>
        </w:rPr>
        <w:t xml:space="preserve"> </w:t>
      </w:r>
    </w:p>
    <w:p w14:paraId="6F84635E" w14:textId="3A645236" w:rsidR="009723F6" w:rsidRPr="009723F6" w:rsidRDefault="00DD7E54" w:rsidP="00DD7E54">
      <w:pPr>
        <w:numPr>
          <w:ilvl w:val="0"/>
          <w:numId w:val="5"/>
        </w:numPr>
        <w:spacing w:line="360" w:lineRule="auto"/>
        <w:ind w:left="284"/>
        <w:jc w:val="both"/>
        <w:rPr>
          <w:sz w:val="22"/>
          <w:szCs w:val="22"/>
          <w:lang w:val="el-GR"/>
        </w:rPr>
      </w:pPr>
      <w:r>
        <w:rPr>
          <w:sz w:val="22"/>
          <w:szCs w:val="22"/>
          <w:lang w:val="el-GR"/>
        </w:rPr>
        <w:t>Η</w:t>
      </w:r>
      <w:r w:rsidR="00FF3E82" w:rsidRPr="00DD7E54">
        <w:rPr>
          <w:sz w:val="22"/>
          <w:szCs w:val="22"/>
          <w:lang w:val="el-GR"/>
        </w:rPr>
        <w:t xml:space="preserve"> απρόσκοπτη λειτουργία των υποδομών</w:t>
      </w:r>
      <w:r w:rsidRPr="00DD7E54">
        <w:rPr>
          <w:sz w:val="22"/>
          <w:szCs w:val="22"/>
          <w:lang w:val="el-GR"/>
        </w:rPr>
        <w:t xml:space="preserve"> </w:t>
      </w:r>
      <w:r w:rsidRPr="00DD7E54">
        <w:rPr>
          <w:rFonts w:eastAsia="Calibri"/>
          <w:color w:val="auto"/>
          <w:sz w:val="22"/>
          <w:szCs w:val="22"/>
          <w:lang w:val="el-GR" w:eastAsia="en-US"/>
        </w:rPr>
        <w:t>της χρηματοπιστωτικής αγοράς</w:t>
      </w:r>
      <w:r w:rsidR="00B20812">
        <w:rPr>
          <w:rFonts w:eastAsia="Calibri"/>
          <w:color w:val="auto"/>
          <w:sz w:val="22"/>
          <w:szCs w:val="22"/>
          <w:lang w:val="el-GR" w:eastAsia="en-US"/>
        </w:rPr>
        <w:t>,</w:t>
      </w:r>
      <w:r w:rsidR="00971E00">
        <w:rPr>
          <w:rFonts w:eastAsia="Calibri"/>
          <w:color w:val="auto"/>
          <w:sz w:val="22"/>
          <w:szCs w:val="22"/>
          <w:lang w:val="el-GR" w:eastAsia="en-US"/>
        </w:rPr>
        <w:t xml:space="preserve"> το πρώτο εξάμηνο του 2024</w:t>
      </w:r>
      <w:r w:rsidR="00B20812">
        <w:rPr>
          <w:rFonts w:eastAsia="Calibri"/>
          <w:color w:val="auto"/>
          <w:sz w:val="22"/>
          <w:szCs w:val="22"/>
          <w:lang w:val="el-GR" w:eastAsia="en-US"/>
        </w:rPr>
        <w:t>,</w:t>
      </w:r>
      <w:r w:rsidRPr="00DD7E54">
        <w:rPr>
          <w:rFonts w:eastAsia="Calibri"/>
          <w:color w:val="auto"/>
          <w:sz w:val="22"/>
          <w:szCs w:val="22"/>
          <w:lang w:val="el-GR" w:eastAsia="en-US"/>
        </w:rPr>
        <w:t xml:space="preserve"> </w:t>
      </w:r>
      <w:r w:rsidR="006E741E">
        <w:rPr>
          <w:rFonts w:eastAsia="Calibri"/>
          <w:color w:val="auto"/>
          <w:sz w:val="22"/>
          <w:szCs w:val="22"/>
          <w:lang w:val="el-GR" w:eastAsia="en-US"/>
        </w:rPr>
        <w:t xml:space="preserve">επέδρασε </w:t>
      </w:r>
      <w:r w:rsidRPr="00DD7E54">
        <w:rPr>
          <w:rFonts w:eastAsia="Calibri"/>
          <w:color w:val="auto"/>
          <w:sz w:val="22"/>
          <w:szCs w:val="22"/>
          <w:lang w:val="el-GR" w:eastAsia="en-US"/>
        </w:rPr>
        <w:t>θετικά στη σταθερότητα του εγχώριου χρηματοπιστωτικού συστήματος</w:t>
      </w:r>
      <w:r w:rsidR="009723F6">
        <w:rPr>
          <w:rFonts w:eastAsia="Calibri"/>
          <w:color w:val="auto"/>
          <w:sz w:val="22"/>
          <w:szCs w:val="22"/>
          <w:lang w:val="el-GR" w:eastAsia="en-US"/>
        </w:rPr>
        <w:t>.</w:t>
      </w:r>
    </w:p>
    <w:p w14:paraId="44E5130C" w14:textId="77777777" w:rsidR="00276886" w:rsidRPr="006F09F3" w:rsidRDefault="00824C25" w:rsidP="007F3270">
      <w:pPr>
        <w:spacing w:before="240" w:line="360" w:lineRule="auto"/>
        <w:jc w:val="both"/>
        <w:rPr>
          <w:rFonts w:eastAsia="Calibri"/>
          <w:color w:val="auto"/>
          <w:sz w:val="22"/>
          <w:szCs w:val="22"/>
          <w:lang w:val="el-GR" w:eastAsia="en-US"/>
        </w:rPr>
      </w:pPr>
      <w:r w:rsidRPr="006F09F3">
        <w:rPr>
          <w:rFonts w:eastAsia="Calibri"/>
          <w:color w:val="auto"/>
          <w:sz w:val="22"/>
          <w:szCs w:val="22"/>
          <w:lang w:val="el-GR" w:eastAsia="en-US"/>
        </w:rPr>
        <w:t xml:space="preserve">Αναρτήθηκε σήμερα στον ιστοχώρο της Τράπεζας της Ελλάδος η Έκθεση Χρηματοπιστωτικής Σταθερότητας, η οποία δημοσιεύεται δύο φορές το χρόνο από τη Διεύθυνση Χρηματοπιστωτικής Σταθερότητας. </w:t>
      </w:r>
    </w:p>
    <w:p w14:paraId="23187D9E" w14:textId="7F2D3BEF" w:rsidR="00240210" w:rsidRPr="006F09F3" w:rsidRDefault="00276886" w:rsidP="007C7317">
      <w:pPr>
        <w:spacing w:before="240" w:line="360" w:lineRule="auto"/>
        <w:jc w:val="both"/>
        <w:rPr>
          <w:rFonts w:eastAsia="Calibri"/>
          <w:color w:val="auto"/>
          <w:sz w:val="22"/>
          <w:szCs w:val="22"/>
          <w:lang w:val="el-GR" w:eastAsia="en-US"/>
        </w:rPr>
      </w:pPr>
      <w:r w:rsidRPr="006F09F3">
        <w:rPr>
          <w:rFonts w:eastAsia="Calibri"/>
          <w:color w:val="auto"/>
          <w:sz w:val="22"/>
          <w:szCs w:val="22"/>
          <w:lang w:val="el-GR" w:eastAsia="en-US"/>
        </w:rPr>
        <w:t xml:space="preserve">Η Έκθεση Χρηματοπιστωτικής Σταθερότητας </w:t>
      </w:r>
      <w:r w:rsidR="008E25AA">
        <w:rPr>
          <w:rFonts w:eastAsia="Calibri"/>
          <w:color w:val="auto"/>
          <w:sz w:val="22"/>
          <w:szCs w:val="22"/>
          <w:lang w:val="el-GR" w:eastAsia="en-US"/>
        </w:rPr>
        <w:t xml:space="preserve">εξετάζει τις εξελίξεις στο μακροοικονομικό και χρηματοπιστωτικό περιβάλλον, αξιολογεί τους κινδύνους και την ανθεκτικότητα του τραπεζικού τομέα, των ασφαλιστικών επιχειρήσεων και των </w:t>
      </w:r>
      <w:r w:rsidR="008E25AA" w:rsidRPr="006F09F3">
        <w:rPr>
          <w:rFonts w:eastAsia="Calibri"/>
          <w:color w:val="auto"/>
          <w:sz w:val="22"/>
          <w:szCs w:val="22"/>
          <w:lang w:val="el-GR" w:eastAsia="en-US"/>
        </w:rPr>
        <w:t>λοιπών τομέων του χρηματοπιστωτικού συστήματος</w:t>
      </w:r>
      <w:r w:rsidR="00B52A06">
        <w:rPr>
          <w:rFonts w:eastAsia="Calibri"/>
          <w:color w:val="auto"/>
          <w:sz w:val="22"/>
          <w:szCs w:val="22"/>
          <w:lang w:val="el-GR" w:eastAsia="en-US"/>
        </w:rPr>
        <w:t xml:space="preserve"> </w:t>
      </w:r>
      <w:r w:rsidRPr="006F09F3">
        <w:rPr>
          <w:rFonts w:eastAsia="Calibri"/>
          <w:color w:val="auto"/>
          <w:sz w:val="22"/>
          <w:szCs w:val="22"/>
          <w:lang w:val="el-GR" w:eastAsia="en-US"/>
        </w:rPr>
        <w:t xml:space="preserve">και αναλύει </w:t>
      </w:r>
      <w:r w:rsidR="009A1AE4" w:rsidRPr="006F09F3">
        <w:rPr>
          <w:rFonts w:eastAsia="Calibri"/>
          <w:color w:val="auto"/>
          <w:sz w:val="22"/>
          <w:szCs w:val="22"/>
          <w:lang w:val="el-GR" w:eastAsia="en-US"/>
        </w:rPr>
        <w:t>τ</w:t>
      </w:r>
      <w:r w:rsidRPr="006F09F3">
        <w:rPr>
          <w:rFonts w:eastAsia="Calibri"/>
          <w:color w:val="auto"/>
          <w:sz w:val="22"/>
          <w:szCs w:val="22"/>
          <w:lang w:val="el-GR" w:eastAsia="en-US"/>
        </w:rPr>
        <w:t xml:space="preserve">η λειτουργία των υποδομών </w:t>
      </w:r>
      <w:r w:rsidR="00F856D5" w:rsidRPr="006F09F3">
        <w:rPr>
          <w:rFonts w:eastAsia="Calibri"/>
          <w:color w:val="auto"/>
          <w:sz w:val="22"/>
          <w:szCs w:val="22"/>
          <w:lang w:val="el-GR" w:eastAsia="en-US"/>
        </w:rPr>
        <w:t xml:space="preserve">των </w:t>
      </w:r>
      <w:r w:rsidRPr="006F09F3">
        <w:rPr>
          <w:rFonts w:eastAsia="Calibri"/>
          <w:color w:val="auto"/>
          <w:sz w:val="22"/>
          <w:szCs w:val="22"/>
          <w:lang w:val="el-GR" w:eastAsia="en-US"/>
        </w:rPr>
        <w:t>χρηματοπιστωτικών αγορών (συστήματα πληρωμών, κάρτες πληρωμών, κεντρικά αποθετήρια τίτλων και κεντρικοί αντισυμβαλλόμενοι).</w:t>
      </w:r>
      <w:r w:rsidR="00B6213D" w:rsidRPr="006F09F3">
        <w:rPr>
          <w:rFonts w:eastAsia="Calibri"/>
          <w:color w:val="auto"/>
          <w:sz w:val="22"/>
          <w:szCs w:val="22"/>
          <w:lang w:val="el-GR" w:eastAsia="en-US"/>
        </w:rPr>
        <w:t xml:space="preserve"> </w:t>
      </w:r>
    </w:p>
    <w:p w14:paraId="7D97CA18" w14:textId="77777777" w:rsidR="00176803" w:rsidRPr="006F09F3" w:rsidRDefault="00B6213D" w:rsidP="006A118C">
      <w:pPr>
        <w:spacing w:before="240" w:line="360" w:lineRule="auto"/>
        <w:jc w:val="both"/>
        <w:rPr>
          <w:rFonts w:eastAsia="Calibri"/>
          <w:color w:val="auto"/>
          <w:sz w:val="22"/>
          <w:szCs w:val="22"/>
          <w:lang w:val="el-GR" w:eastAsia="en-US"/>
        </w:rPr>
      </w:pPr>
      <w:r w:rsidRPr="006F09F3">
        <w:rPr>
          <w:rFonts w:eastAsia="Calibri"/>
          <w:color w:val="auto"/>
          <w:sz w:val="22"/>
          <w:szCs w:val="22"/>
          <w:lang w:val="el-GR" w:eastAsia="en-US"/>
        </w:rPr>
        <w:t xml:space="preserve">Η παρούσα Έκθεση επικεντρώνεται στις εξελίξεις που έλαβαν </w:t>
      </w:r>
      <w:r w:rsidR="002824EA" w:rsidRPr="006F09F3">
        <w:rPr>
          <w:rFonts w:eastAsia="Calibri"/>
          <w:color w:val="auto"/>
          <w:sz w:val="22"/>
          <w:szCs w:val="22"/>
          <w:lang w:val="el-GR" w:eastAsia="en-US"/>
        </w:rPr>
        <w:t xml:space="preserve">χώρα στον τραπεζικό τομέα </w:t>
      </w:r>
      <w:r w:rsidR="001C2240" w:rsidRPr="006F09F3">
        <w:rPr>
          <w:rFonts w:eastAsia="Calibri"/>
          <w:color w:val="auto"/>
          <w:sz w:val="22"/>
          <w:szCs w:val="22"/>
          <w:lang w:val="el-GR" w:eastAsia="en-US"/>
        </w:rPr>
        <w:t>το</w:t>
      </w:r>
      <w:r w:rsidR="00B6006A" w:rsidRPr="006F09F3">
        <w:rPr>
          <w:rFonts w:eastAsia="Calibri"/>
          <w:color w:val="auto"/>
          <w:sz w:val="22"/>
          <w:szCs w:val="22"/>
          <w:lang w:val="el-GR" w:eastAsia="en-US"/>
        </w:rPr>
        <w:t xml:space="preserve"> </w:t>
      </w:r>
      <w:r w:rsidR="00DF47F2" w:rsidRPr="006F09F3">
        <w:rPr>
          <w:rFonts w:eastAsia="Calibri"/>
          <w:color w:val="auto"/>
          <w:sz w:val="22"/>
          <w:szCs w:val="22"/>
          <w:lang w:val="el-GR" w:eastAsia="en-US"/>
        </w:rPr>
        <w:t>πρώτο</w:t>
      </w:r>
      <w:r w:rsidR="00DF47F2" w:rsidRPr="006F09F3">
        <w:rPr>
          <w:sz w:val="22"/>
          <w:szCs w:val="22"/>
          <w:lang w:val="el-GR"/>
        </w:rPr>
        <w:t xml:space="preserve"> εξάμηνο του </w:t>
      </w:r>
      <w:r w:rsidR="002824EA" w:rsidRPr="006F09F3">
        <w:rPr>
          <w:rFonts w:eastAsia="Calibri"/>
          <w:color w:val="auto"/>
          <w:sz w:val="22"/>
          <w:szCs w:val="22"/>
          <w:lang w:val="el-GR" w:eastAsia="en-US"/>
        </w:rPr>
        <w:t>202</w:t>
      </w:r>
      <w:r w:rsidR="00DF47F2" w:rsidRPr="006F09F3">
        <w:rPr>
          <w:rFonts w:eastAsia="Calibri"/>
          <w:color w:val="auto"/>
          <w:sz w:val="22"/>
          <w:szCs w:val="22"/>
          <w:lang w:val="el-GR" w:eastAsia="en-US"/>
        </w:rPr>
        <w:t>4</w:t>
      </w:r>
      <w:r w:rsidR="006A118C" w:rsidRPr="006F09F3">
        <w:rPr>
          <w:rFonts w:eastAsia="Calibri"/>
          <w:color w:val="auto"/>
          <w:sz w:val="22"/>
          <w:szCs w:val="22"/>
          <w:lang w:val="el-GR" w:eastAsia="en-US"/>
        </w:rPr>
        <w:t>, ενώ π</w:t>
      </w:r>
      <w:r w:rsidR="003E67BF" w:rsidRPr="006F09F3">
        <w:rPr>
          <w:rFonts w:eastAsia="Calibri"/>
          <w:color w:val="auto"/>
          <w:sz w:val="22"/>
          <w:szCs w:val="22"/>
          <w:lang w:val="el-GR" w:eastAsia="en-US"/>
        </w:rPr>
        <w:t xml:space="preserve">αρουσιάζονται επίσης </w:t>
      </w:r>
      <w:r w:rsidR="00E8273B" w:rsidRPr="006F09F3">
        <w:rPr>
          <w:rFonts w:eastAsia="Calibri"/>
          <w:color w:val="auto"/>
          <w:sz w:val="22"/>
          <w:szCs w:val="22"/>
          <w:lang w:val="el-GR" w:eastAsia="en-US"/>
        </w:rPr>
        <w:t xml:space="preserve">δύο </w:t>
      </w:r>
      <w:r w:rsidR="0034618A" w:rsidRPr="006F09F3">
        <w:rPr>
          <w:rFonts w:eastAsia="Calibri"/>
          <w:color w:val="auto"/>
          <w:sz w:val="22"/>
          <w:szCs w:val="22"/>
          <w:lang w:val="el-GR" w:eastAsia="en-US"/>
        </w:rPr>
        <w:t>Ε</w:t>
      </w:r>
      <w:r w:rsidR="003A7FD3" w:rsidRPr="006F09F3">
        <w:rPr>
          <w:rFonts w:eastAsia="Calibri"/>
          <w:color w:val="auto"/>
          <w:sz w:val="22"/>
          <w:szCs w:val="22"/>
          <w:lang w:val="el-GR" w:eastAsia="en-US"/>
        </w:rPr>
        <w:t xml:space="preserve">ιδικά </w:t>
      </w:r>
      <w:r w:rsidR="00333C38" w:rsidRPr="006F09F3">
        <w:rPr>
          <w:rFonts w:eastAsia="Calibri"/>
          <w:color w:val="auto"/>
          <w:sz w:val="22"/>
          <w:szCs w:val="22"/>
          <w:lang w:val="el-GR" w:eastAsia="en-US"/>
        </w:rPr>
        <w:t>Θ</w:t>
      </w:r>
      <w:r w:rsidR="003E67BF" w:rsidRPr="006F09F3">
        <w:rPr>
          <w:rFonts w:eastAsia="Calibri"/>
          <w:color w:val="auto"/>
          <w:sz w:val="22"/>
          <w:szCs w:val="22"/>
          <w:lang w:val="el-GR" w:eastAsia="en-US"/>
        </w:rPr>
        <w:t>έματα</w:t>
      </w:r>
      <w:r w:rsidR="00176803" w:rsidRPr="006F09F3">
        <w:rPr>
          <w:rFonts w:eastAsia="Calibri"/>
          <w:color w:val="auto"/>
          <w:sz w:val="22"/>
          <w:szCs w:val="22"/>
          <w:lang w:val="el-GR" w:eastAsia="en-US"/>
        </w:rPr>
        <w:t>:</w:t>
      </w:r>
      <w:r w:rsidR="006A118C" w:rsidRPr="006F09F3">
        <w:rPr>
          <w:rFonts w:eastAsia="Calibri"/>
          <w:color w:val="auto"/>
          <w:sz w:val="22"/>
          <w:szCs w:val="22"/>
          <w:lang w:val="el-GR" w:eastAsia="en-US"/>
        </w:rPr>
        <w:t xml:space="preserve"> </w:t>
      </w:r>
    </w:p>
    <w:p w14:paraId="433107A9" w14:textId="7FE150DC" w:rsidR="00892594" w:rsidRPr="006F09F3" w:rsidRDefault="00176803" w:rsidP="0071591E">
      <w:pPr>
        <w:spacing w:before="240" w:line="360" w:lineRule="auto"/>
        <w:ind w:left="720"/>
        <w:jc w:val="both"/>
        <w:rPr>
          <w:rFonts w:eastAsia="Calibri"/>
          <w:color w:val="auto"/>
          <w:sz w:val="22"/>
          <w:szCs w:val="22"/>
          <w:lang w:val="el-GR" w:eastAsia="en-US"/>
        </w:rPr>
      </w:pPr>
      <w:r w:rsidRPr="006F09F3">
        <w:rPr>
          <w:rFonts w:eastAsia="Calibri"/>
          <w:color w:val="auto"/>
          <w:sz w:val="22"/>
          <w:szCs w:val="22"/>
          <w:lang w:val="el-GR" w:eastAsia="en-US"/>
        </w:rPr>
        <w:lastRenderedPageBreak/>
        <w:t xml:space="preserve">α) </w:t>
      </w:r>
      <w:r w:rsidR="006A118C" w:rsidRPr="006F09F3">
        <w:rPr>
          <w:rFonts w:eastAsia="Calibri"/>
          <w:color w:val="auto"/>
          <w:sz w:val="22"/>
          <w:szCs w:val="22"/>
          <w:lang w:val="el-GR" w:eastAsia="en-US"/>
        </w:rPr>
        <w:t xml:space="preserve">Το Ειδικό Θέμα Ι </w:t>
      </w:r>
      <w:r w:rsidR="007A3096" w:rsidRPr="006F09F3">
        <w:rPr>
          <w:rFonts w:eastAsia="Calibri"/>
          <w:color w:val="auto"/>
          <w:sz w:val="22"/>
          <w:szCs w:val="22"/>
          <w:lang w:val="el-GR" w:eastAsia="en-US"/>
        </w:rPr>
        <w:t xml:space="preserve">περιγράφει το πλαίσιο αξιολόγησης που έχει αναπτύξει η Τράπεζα της Ελλάδος για τη συστηματική παρακολούθηση των </w:t>
      </w:r>
      <w:r w:rsidR="00892594" w:rsidRPr="006F09F3">
        <w:rPr>
          <w:rFonts w:eastAsia="Calibri"/>
          <w:color w:val="auto"/>
          <w:sz w:val="22"/>
          <w:szCs w:val="22"/>
          <w:lang w:val="el-GR" w:eastAsia="en-US"/>
        </w:rPr>
        <w:t xml:space="preserve">κινδύνων που απορρέουν από </w:t>
      </w:r>
      <w:r w:rsidR="00815762">
        <w:rPr>
          <w:rFonts w:eastAsia="Calibri"/>
          <w:color w:val="auto"/>
          <w:sz w:val="22"/>
          <w:szCs w:val="22"/>
          <w:lang w:val="el-GR" w:eastAsia="en-US"/>
        </w:rPr>
        <w:t>δάνεια</w:t>
      </w:r>
      <w:r w:rsidR="00815762" w:rsidRPr="006F09F3">
        <w:rPr>
          <w:rFonts w:eastAsia="Calibri"/>
          <w:color w:val="auto"/>
          <w:sz w:val="22"/>
          <w:szCs w:val="22"/>
          <w:lang w:val="el-GR" w:eastAsia="en-US"/>
        </w:rPr>
        <w:t xml:space="preserve"> </w:t>
      </w:r>
      <w:r w:rsidR="007A3096" w:rsidRPr="006F09F3">
        <w:rPr>
          <w:rFonts w:eastAsia="Calibri"/>
          <w:color w:val="auto"/>
          <w:sz w:val="22"/>
          <w:szCs w:val="22"/>
          <w:lang w:val="el-GR" w:eastAsia="en-US"/>
        </w:rPr>
        <w:t>και επενδύσε</w:t>
      </w:r>
      <w:r w:rsidR="00892594" w:rsidRPr="006F09F3">
        <w:rPr>
          <w:rFonts w:eastAsia="Calibri"/>
          <w:color w:val="auto"/>
          <w:sz w:val="22"/>
          <w:szCs w:val="22"/>
          <w:lang w:val="el-GR" w:eastAsia="en-US"/>
        </w:rPr>
        <w:t xml:space="preserve">ις </w:t>
      </w:r>
      <w:r w:rsidR="007A3096" w:rsidRPr="006F09F3">
        <w:rPr>
          <w:rFonts w:eastAsia="Calibri"/>
          <w:color w:val="auto"/>
          <w:sz w:val="22"/>
          <w:szCs w:val="22"/>
          <w:lang w:val="el-GR" w:eastAsia="en-US"/>
        </w:rPr>
        <w:t>σε επαγγελματικά ακίνητα</w:t>
      </w:r>
      <w:r w:rsidR="00E11A83">
        <w:rPr>
          <w:rFonts w:eastAsia="Calibri"/>
          <w:color w:val="auto"/>
          <w:sz w:val="22"/>
          <w:szCs w:val="22"/>
          <w:lang w:val="el-GR" w:eastAsia="en-US"/>
        </w:rPr>
        <w:t xml:space="preserve">. Επιπρόσθετα, </w:t>
      </w:r>
      <w:r w:rsidR="00892594" w:rsidRPr="006F09F3">
        <w:rPr>
          <w:rFonts w:eastAsia="Calibri"/>
          <w:color w:val="auto"/>
          <w:sz w:val="22"/>
          <w:szCs w:val="22"/>
          <w:lang w:val="el-GR" w:eastAsia="en-US"/>
        </w:rPr>
        <w:t xml:space="preserve">παρουσιάζει τα ευρήματα </w:t>
      </w:r>
      <w:r w:rsidR="00E11A83">
        <w:rPr>
          <w:rFonts w:eastAsia="Calibri"/>
          <w:color w:val="auto"/>
          <w:sz w:val="22"/>
          <w:szCs w:val="22"/>
          <w:lang w:val="el-GR" w:eastAsia="en-US"/>
        </w:rPr>
        <w:t xml:space="preserve">από την εφαρμογή της </w:t>
      </w:r>
      <w:r w:rsidR="00892594" w:rsidRPr="006F09F3">
        <w:rPr>
          <w:rFonts w:eastAsia="Calibri"/>
          <w:color w:val="auto"/>
          <w:sz w:val="22"/>
          <w:szCs w:val="22"/>
          <w:lang w:val="el-GR" w:eastAsia="en-US"/>
        </w:rPr>
        <w:t xml:space="preserve">εν λόγω αξιολόγησης </w:t>
      </w:r>
      <w:r w:rsidR="00030F67">
        <w:rPr>
          <w:rFonts w:eastAsia="Calibri"/>
          <w:color w:val="auto"/>
          <w:sz w:val="22"/>
          <w:szCs w:val="22"/>
          <w:lang w:val="el-GR" w:eastAsia="en-US"/>
        </w:rPr>
        <w:t>σ</w:t>
      </w:r>
      <w:r w:rsidR="00E11A83">
        <w:rPr>
          <w:rFonts w:eastAsia="Calibri"/>
          <w:color w:val="auto"/>
          <w:sz w:val="22"/>
          <w:szCs w:val="22"/>
          <w:lang w:val="el-GR" w:eastAsia="en-US"/>
        </w:rPr>
        <w:t xml:space="preserve">την εγχώρια αγορά επαγγελματικών ακινήτων </w:t>
      </w:r>
      <w:r w:rsidR="004C0B48" w:rsidRPr="009669A8">
        <w:rPr>
          <w:rFonts w:eastAsia="Calibri"/>
          <w:color w:val="auto"/>
          <w:sz w:val="22"/>
          <w:szCs w:val="22"/>
          <w:lang w:val="el-GR" w:eastAsia="en-US"/>
        </w:rPr>
        <w:t>για το δε</w:t>
      </w:r>
      <w:r w:rsidR="004C0B48">
        <w:rPr>
          <w:rFonts w:eastAsia="Calibri"/>
          <w:color w:val="auto"/>
          <w:sz w:val="22"/>
          <w:szCs w:val="22"/>
          <w:lang w:val="el-GR" w:eastAsia="en-US"/>
        </w:rPr>
        <w:t>ύτερο εξάμηνο</w:t>
      </w:r>
      <w:r w:rsidR="00E11A83">
        <w:rPr>
          <w:rFonts w:eastAsia="Calibri"/>
          <w:color w:val="auto"/>
          <w:sz w:val="22"/>
          <w:szCs w:val="22"/>
          <w:lang w:val="el-GR" w:eastAsia="en-US"/>
        </w:rPr>
        <w:t xml:space="preserve"> του </w:t>
      </w:r>
      <w:r w:rsidR="00892594" w:rsidRPr="006F09F3">
        <w:rPr>
          <w:rFonts w:eastAsia="Calibri"/>
          <w:color w:val="auto"/>
          <w:sz w:val="22"/>
          <w:szCs w:val="22"/>
          <w:lang w:val="el-GR" w:eastAsia="en-US"/>
        </w:rPr>
        <w:t>2023.</w:t>
      </w:r>
    </w:p>
    <w:p w14:paraId="4AFFAB7F" w14:textId="77777777" w:rsidR="0056475E" w:rsidRPr="006F09F3" w:rsidRDefault="0095627E" w:rsidP="0071591E">
      <w:pPr>
        <w:spacing w:before="240" w:line="360" w:lineRule="auto"/>
        <w:ind w:left="720"/>
        <w:jc w:val="both"/>
        <w:rPr>
          <w:rFonts w:eastAsia="Calibri"/>
          <w:color w:val="auto"/>
          <w:sz w:val="22"/>
          <w:szCs w:val="22"/>
          <w:lang w:val="el-GR" w:eastAsia="en-US"/>
        </w:rPr>
      </w:pPr>
      <w:r w:rsidRPr="006F09F3">
        <w:rPr>
          <w:rFonts w:eastAsia="Calibri"/>
          <w:color w:val="auto"/>
          <w:sz w:val="22"/>
          <w:szCs w:val="22"/>
          <w:lang w:val="el-GR" w:eastAsia="en-US"/>
        </w:rPr>
        <w:t xml:space="preserve">β) </w:t>
      </w:r>
      <w:r w:rsidR="0056475E" w:rsidRPr="006F09F3">
        <w:rPr>
          <w:rFonts w:eastAsia="Calibri"/>
          <w:color w:val="auto"/>
          <w:sz w:val="22"/>
          <w:szCs w:val="22"/>
          <w:lang w:val="el-GR" w:eastAsia="en-US"/>
        </w:rPr>
        <w:t xml:space="preserve">Το Ειδικό Θέμα ΙΙ παρουσιάζει το τρέχον τοπίο των </w:t>
      </w:r>
      <w:proofErr w:type="spellStart"/>
      <w:r w:rsidR="0056475E" w:rsidRPr="006F09F3">
        <w:rPr>
          <w:rFonts w:eastAsia="Calibri"/>
          <w:color w:val="auto"/>
          <w:sz w:val="22"/>
          <w:szCs w:val="22"/>
          <w:lang w:val="el-GR" w:eastAsia="en-US"/>
        </w:rPr>
        <w:t>κυβερνοαπειλών</w:t>
      </w:r>
      <w:proofErr w:type="spellEnd"/>
      <w:r w:rsidR="0056475E" w:rsidRPr="006F09F3">
        <w:rPr>
          <w:rFonts w:eastAsia="Calibri"/>
          <w:color w:val="auto"/>
          <w:sz w:val="22"/>
          <w:szCs w:val="22"/>
          <w:lang w:val="el-GR" w:eastAsia="en-US"/>
        </w:rPr>
        <w:t xml:space="preserve"> στις υποδομές των χρηματοπιστωτικών αγορών, τους ενδεχόμενους κινδύνους από περιστατικά </w:t>
      </w:r>
      <w:proofErr w:type="spellStart"/>
      <w:r w:rsidR="0056475E" w:rsidRPr="006F09F3">
        <w:rPr>
          <w:rFonts w:eastAsia="Calibri"/>
          <w:color w:val="auto"/>
          <w:sz w:val="22"/>
          <w:szCs w:val="22"/>
          <w:lang w:val="el-GR" w:eastAsia="en-US"/>
        </w:rPr>
        <w:t>κυβερνοεπιθέσεων</w:t>
      </w:r>
      <w:proofErr w:type="spellEnd"/>
      <w:r w:rsidR="0056475E" w:rsidRPr="006F09F3">
        <w:rPr>
          <w:rFonts w:eastAsia="Calibri"/>
          <w:color w:val="auto"/>
          <w:sz w:val="22"/>
          <w:szCs w:val="22"/>
          <w:lang w:val="el-GR" w:eastAsia="en-US"/>
        </w:rPr>
        <w:t xml:space="preserve"> στις υποδομές, καθώς και τους τρόπους αντιμετώπισης των </w:t>
      </w:r>
      <w:proofErr w:type="spellStart"/>
      <w:r w:rsidR="0056475E" w:rsidRPr="006F09F3">
        <w:rPr>
          <w:rFonts w:eastAsia="Calibri"/>
          <w:color w:val="auto"/>
          <w:sz w:val="22"/>
          <w:szCs w:val="22"/>
          <w:lang w:val="el-GR" w:eastAsia="en-US"/>
        </w:rPr>
        <w:t>κυβερνοαπειλών</w:t>
      </w:r>
      <w:proofErr w:type="spellEnd"/>
      <w:r w:rsidR="0056475E" w:rsidRPr="006F09F3">
        <w:rPr>
          <w:rFonts w:eastAsia="Calibri"/>
          <w:color w:val="auto"/>
          <w:sz w:val="22"/>
          <w:szCs w:val="22"/>
          <w:lang w:val="el-GR" w:eastAsia="en-US"/>
        </w:rPr>
        <w:t>.</w:t>
      </w:r>
    </w:p>
    <w:p w14:paraId="4D62FD74" w14:textId="55AB81AF" w:rsidR="00B615DB" w:rsidRDefault="0030584D" w:rsidP="006B1C2E">
      <w:pPr>
        <w:spacing w:before="240" w:line="360" w:lineRule="auto"/>
        <w:jc w:val="both"/>
        <w:rPr>
          <w:sz w:val="22"/>
          <w:szCs w:val="22"/>
          <w:lang w:val="el-GR"/>
        </w:rPr>
      </w:pPr>
      <w:r>
        <w:rPr>
          <w:sz w:val="22"/>
          <w:szCs w:val="22"/>
          <w:lang w:val="el-GR"/>
        </w:rPr>
        <w:t xml:space="preserve">Ο ελληνικός τραπεζικός τομέας είναι σε </w:t>
      </w:r>
      <w:r w:rsidR="00B615DB" w:rsidRPr="00B615DB">
        <w:rPr>
          <w:sz w:val="22"/>
          <w:szCs w:val="22"/>
          <w:lang w:val="el-GR"/>
        </w:rPr>
        <w:t>καλύτερη θέση σε σχέση με το παρελθόν για να αντιμετωπίσ</w:t>
      </w:r>
      <w:r w:rsidR="00B615DB">
        <w:rPr>
          <w:sz w:val="22"/>
          <w:szCs w:val="22"/>
          <w:lang w:val="el-GR"/>
        </w:rPr>
        <w:t xml:space="preserve">ει </w:t>
      </w:r>
      <w:r w:rsidR="00B615DB" w:rsidRPr="00B615DB">
        <w:rPr>
          <w:sz w:val="22"/>
          <w:szCs w:val="22"/>
          <w:lang w:val="el-GR"/>
        </w:rPr>
        <w:t xml:space="preserve">πιθανές </w:t>
      </w:r>
      <w:r w:rsidR="00FA032C">
        <w:rPr>
          <w:sz w:val="22"/>
          <w:szCs w:val="22"/>
          <w:lang w:val="el-GR"/>
        </w:rPr>
        <w:t>διαταραχές</w:t>
      </w:r>
      <w:r w:rsidR="00B615DB" w:rsidRPr="00B615DB">
        <w:rPr>
          <w:sz w:val="22"/>
          <w:szCs w:val="22"/>
          <w:lang w:val="el-GR"/>
        </w:rPr>
        <w:t xml:space="preserve"> </w:t>
      </w:r>
      <w:r w:rsidR="00B615DB">
        <w:rPr>
          <w:sz w:val="22"/>
          <w:szCs w:val="22"/>
          <w:lang w:val="el-GR"/>
        </w:rPr>
        <w:t>και να επιτελέσει το διαμεσολαβητικό του ρόλο.</w:t>
      </w:r>
    </w:p>
    <w:p w14:paraId="69A22E91" w14:textId="6715D7EB" w:rsidR="0056475E" w:rsidRPr="006F09F3" w:rsidRDefault="0056475E" w:rsidP="00563EBB">
      <w:pPr>
        <w:spacing w:before="240" w:line="360" w:lineRule="auto"/>
        <w:jc w:val="both"/>
        <w:rPr>
          <w:sz w:val="22"/>
          <w:szCs w:val="22"/>
          <w:highlight w:val="yellow"/>
          <w:lang w:val="el-GR"/>
        </w:rPr>
      </w:pPr>
      <w:r w:rsidRPr="006F09F3">
        <w:rPr>
          <w:sz w:val="22"/>
          <w:szCs w:val="22"/>
          <w:lang w:val="el-GR"/>
        </w:rPr>
        <w:t>Το πρώτο εξάμηνο του 2024 οι ελληνικές τράπεζες κατέγραψαν κέρδη μετά από φόρους και διακοπτόμενες δραστηριότητες ύψους 2,3 δισεκ. ευρώ, έναντι κερδών 1,9 δισεκ. ευρώ το πρώτο εξάμηνο του 2023. Στην εξέλιξη αυτή συνέβαλε καθοριστικά η αύξηση των καθαρών εσόδων από τόκους</w:t>
      </w:r>
      <w:r w:rsidR="008A62C7" w:rsidRPr="006F09F3">
        <w:rPr>
          <w:sz w:val="22"/>
          <w:szCs w:val="22"/>
          <w:lang w:val="el-GR"/>
        </w:rPr>
        <w:t xml:space="preserve"> και προμήθειες</w:t>
      </w:r>
      <w:r w:rsidR="006E741E">
        <w:rPr>
          <w:sz w:val="22"/>
          <w:szCs w:val="22"/>
          <w:lang w:val="el-GR"/>
        </w:rPr>
        <w:t>,</w:t>
      </w:r>
      <w:r w:rsidR="00563EBB" w:rsidRPr="006F09F3">
        <w:rPr>
          <w:sz w:val="22"/>
          <w:szCs w:val="22"/>
          <w:lang w:val="el-GR"/>
        </w:rPr>
        <w:t xml:space="preserve"> </w:t>
      </w:r>
      <w:r w:rsidR="008A62C7" w:rsidRPr="006F09F3">
        <w:rPr>
          <w:sz w:val="22"/>
          <w:szCs w:val="22"/>
          <w:lang w:val="el-GR"/>
        </w:rPr>
        <w:t xml:space="preserve">με </w:t>
      </w:r>
      <w:r w:rsidR="00563EBB" w:rsidRPr="006F09F3">
        <w:rPr>
          <w:sz w:val="22"/>
          <w:szCs w:val="22"/>
          <w:lang w:val="el-GR"/>
        </w:rPr>
        <w:t xml:space="preserve">θετική συμβολή των εσόδων από πράξεις πληρωμών και τη διαχείριση </w:t>
      </w:r>
      <w:r w:rsidR="009669A8">
        <w:rPr>
          <w:sz w:val="22"/>
          <w:szCs w:val="22"/>
          <w:lang w:val="el-GR"/>
        </w:rPr>
        <w:t>περιουσιακών στοιχείων</w:t>
      </w:r>
      <w:r w:rsidR="00563EBB" w:rsidRPr="006F09F3">
        <w:rPr>
          <w:sz w:val="22"/>
          <w:szCs w:val="22"/>
          <w:lang w:val="el-GR"/>
        </w:rPr>
        <w:t>.</w:t>
      </w:r>
    </w:p>
    <w:p w14:paraId="449C0E15" w14:textId="5BA3ACEC" w:rsidR="002D2E94" w:rsidRDefault="00CA400F" w:rsidP="00B912F5">
      <w:pPr>
        <w:spacing w:before="240" w:line="360" w:lineRule="auto"/>
        <w:jc w:val="both"/>
        <w:rPr>
          <w:sz w:val="22"/>
          <w:szCs w:val="22"/>
          <w:lang w:val="el-GR"/>
        </w:rPr>
      </w:pPr>
      <w:r w:rsidRPr="006F09F3">
        <w:rPr>
          <w:sz w:val="22"/>
          <w:szCs w:val="22"/>
          <w:lang w:val="el-GR"/>
        </w:rPr>
        <w:t xml:space="preserve">H κεφαλαιακή επάρκεια του τραπεζικού τομέα παρέμεινε σχεδόν αμετάβλητη το πρώτο </w:t>
      </w:r>
      <w:r w:rsidR="006B5160" w:rsidRPr="006F09F3">
        <w:rPr>
          <w:sz w:val="22"/>
          <w:szCs w:val="22"/>
          <w:lang w:val="el-GR"/>
        </w:rPr>
        <w:t>εξάμηνο</w:t>
      </w:r>
      <w:r w:rsidRPr="006F09F3">
        <w:rPr>
          <w:sz w:val="22"/>
          <w:szCs w:val="22"/>
          <w:lang w:val="el-GR"/>
        </w:rPr>
        <w:t xml:space="preserve"> του 2024, καθώς η αύξηση των εποπτικών ιδίων κεφαλαίων αντισταθμίστηκε από την αύξηση του σταθμισμένου ως προς τον κίνδυνο ενεργητικού. Συγκεκριμένα, ο Δείκτης Κεφαλαίου Κοινών Μετοχών της Κατηγορίας 1 (Common </w:t>
      </w:r>
      <w:proofErr w:type="spellStart"/>
      <w:r w:rsidRPr="006F09F3">
        <w:rPr>
          <w:sz w:val="22"/>
          <w:szCs w:val="22"/>
          <w:lang w:val="el-GR"/>
        </w:rPr>
        <w:t>Equity</w:t>
      </w:r>
      <w:proofErr w:type="spellEnd"/>
      <w:r w:rsidRPr="006F09F3">
        <w:rPr>
          <w:sz w:val="22"/>
          <w:szCs w:val="22"/>
          <w:lang w:val="el-GR"/>
        </w:rPr>
        <w:t xml:space="preserve"> </w:t>
      </w:r>
      <w:proofErr w:type="spellStart"/>
      <w:r w:rsidRPr="006F09F3">
        <w:rPr>
          <w:sz w:val="22"/>
          <w:szCs w:val="22"/>
          <w:lang w:val="el-GR"/>
        </w:rPr>
        <w:t>Tier</w:t>
      </w:r>
      <w:proofErr w:type="spellEnd"/>
      <w:r w:rsidRPr="006F09F3">
        <w:rPr>
          <w:sz w:val="22"/>
          <w:szCs w:val="22"/>
          <w:lang w:val="el-GR"/>
        </w:rPr>
        <w:t xml:space="preserve"> 1 </w:t>
      </w:r>
      <w:proofErr w:type="spellStart"/>
      <w:r w:rsidRPr="006F09F3">
        <w:rPr>
          <w:sz w:val="22"/>
          <w:szCs w:val="22"/>
          <w:lang w:val="el-GR"/>
        </w:rPr>
        <w:t>ratio</w:t>
      </w:r>
      <w:proofErr w:type="spellEnd"/>
      <w:r w:rsidRPr="006F09F3">
        <w:rPr>
          <w:sz w:val="22"/>
          <w:szCs w:val="22"/>
          <w:lang w:val="el-GR"/>
        </w:rPr>
        <w:t xml:space="preserve"> – CET1 </w:t>
      </w:r>
      <w:proofErr w:type="spellStart"/>
      <w:r w:rsidRPr="006F09F3">
        <w:rPr>
          <w:sz w:val="22"/>
          <w:szCs w:val="22"/>
          <w:lang w:val="el-GR"/>
        </w:rPr>
        <w:t>ratio</w:t>
      </w:r>
      <w:proofErr w:type="spellEnd"/>
      <w:r w:rsidRPr="006F09F3">
        <w:rPr>
          <w:sz w:val="22"/>
          <w:szCs w:val="22"/>
          <w:lang w:val="el-GR"/>
        </w:rPr>
        <w:t>) σε ενοποιημένη βάση μειώθηκε οριακά σε 15,4% τον Ιούνιο του 2024 από 15,5% το Δεκέμβριο του 2023 και ο Συνολικός Δείκτης Κεφαλαίου (</w:t>
      </w:r>
      <w:proofErr w:type="spellStart"/>
      <w:r w:rsidRPr="006F09F3">
        <w:rPr>
          <w:sz w:val="22"/>
          <w:szCs w:val="22"/>
          <w:lang w:val="el-GR"/>
        </w:rPr>
        <w:t>Total</w:t>
      </w:r>
      <w:proofErr w:type="spellEnd"/>
      <w:r w:rsidRPr="006F09F3">
        <w:rPr>
          <w:sz w:val="22"/>
          <w:szCs w:val="22"/>
          <w:lang w:val="el-GR"/>
        </w:rPr>
        <w:t xml:space="preserve"> Capital </w:t>
      </w:r>
      <w:proofErr w:type="spellStart"/>
      <w:r w:rsidRPr="006F09F3">
        <w:rPr>
          <w:sz w:val="22"/>
          <w:szCs w:val="22"/>
          <w:lang w:val="el-GR"/>
        </w:rPr>
        <w:t>Ratio</w:t>
      </w:r>
      <w:proofErr w:type="spellEnd"/>
      <w:r w:rsidRPr="006F09F3">
        <w:rPr>
          <w:sz w:val="22"/>
          <w:szCs w:val="22"/>
          <w:lang w:val="el-GR"/>
        </w:rPr>
        <w:t xml:space="preserve"> – TCR) παρέμεινε αμετάβλητος στο 18,8%. Οι δείκτες αυτοί </w:t>
      </w:r>
      <w:r w:rsidR="00984112">
        <w:rPr>
          <w:sz w:val="22"/>
          <w:szCs w:val="22"/>
          <w:lang w:val="el-GR"/>
        </w:rPr>
        <w:t xml:space="preserve">εξακολουθούν όμως να </w:t>
      </w:r>
      <w:r w:rsidRPr="006F09F3">
        <w:rPr>
          <w:sz w:val="22"/>
          <w:szCs w:val="22"/>
          <w:lang w:val="el-GR"/>
        </w:rPr>
        <w:t xml:space="preserve">υπολείπονται του </w:t>
      </w:r>
      <w:r w:rsidR="00190BDE">
        <w:rPr>
          <w:sz w:val="22"/>
          <w:szCs w:val="22"/>
          <w:lang w:val="el-GR"/>
        </w:rPr>
        <w:t xml:space="preserve">ευρωπαϊκού </w:t>
      </w:r>
      <w:r w:rsidRPr="006F09F3">
        <w:rPr>
          <w:sz w:val="22"/>
          <w:szCs w:val="22"/>
          <w:lang w:val="el-GR"/>
        </w:rPr>
        <w:t>μέσου όρου (δείκτες CET1: 15,8% και TCR: 19,9% τον Ιούνιο του 2024).</w:t>
      </w:r>
      <w:r w:rsidR="002D2E94">
        <w:rPr>
          <w:sz w:val="22"/>
          <w:szCs w:val="22"/>
          <w:lang w:val="el-GR"/>
        </w:rPr>
        <w:t xml:space="preserve"> Επίσης, </w:t>
      </w:r>
      <w:r w:rsidR="00D049E2">
        <w:rPr>
          <w:sz w:val="22"/>
          <w:szCs w:val="22"/>
          <w:lang w:val="el-GR"/>
        </w:rPr>
        <w:t>ο</w:t>
      </w:r>
      <w:r w:rsidR="006B5160" w:rsidRPr="006F09F3">
        <w:rPr>
          <w:sz w:val="22"/>
          <w:szCs w:val="22"/>
          <w:lang w:val="el-GR"/>
        </w:rPr>
        <w:t>ι συνθήκες ρευστότητας τ</w:t>
      </w:r>
      <w:r w:rsidR="00AC4339" w:rsidRPr="006F09F3">
        <w:rPr>
          <w:sz w:val="22"/>
          <w:szCs w:val="22"/>
          <w:lang w:val="el-GR"/>
        </w:rPr>
        <w:t>ου ελληνικού τραπεζικού τομέα</w:t>
      </w:r>
      <w:r w:rsidR="006B5160" w:rsidRPr="006F09F3">
        <w:rPr>
          <w:sz w:val="22"/>
          <w:szCs w:val="22"/>
          <w:lang w:val="el-GR"/>
        </w:rPr>
        <w:t xml:space="preserve"> παρέμειναν ικανοποιητικές το πρώτο εξάμηνο του 2024</w:t>
      </w:r>
      <w:r w:rsidR="00B75958" w:rsidRPr="006F09F3">
        <w:rPr>
          <w:sz w:val="22"/>
          <w:szCs w:val="22"/>
          <w:lang w:val="el-GR"/>
        </w:rPr>
        <w:t xml:space="preserve">. </w:t>
      </w:r>
    </w:p>
    <w:p w14:paraId="1CEAD6F5" w14:textId="02042990" w:rsidR="00B912F5" w:rsidRPr="006F09F3" w:rsidRDefault="00DD2BAF" w:rsidP="00B912F5">
      <w:pPr>
        <w:spacing w:before="240" w:line="360" w:lineRule="auto"/>
        <w:jc w:val="both"/>
        <w:rPr>
          <w:sz w:val="22"/>
          <w:szCs w:val="22"/>
          <w:lang w:val="el-GR"/>
        </w:rPr>
      </w:pPr>
      <w:r>
        <w:rPr>
          <w:sz w:val="22"/>
          <w:szCs w:val="22"/>
          <w:lang w:val="el-GR"/>
        </w:rPr>
        <w:t>Η</w:t>
      </w:r>
      <w:r w:rsidR="006B5160" w:rsidRPr="006F09F3">
        <w:rPr>
          <w:sz w:val="22"/>
          <w:szCs w:val="22"/>
          <w:lang w:val="el-GR"/>
        </w:rPr>
        <w:t xml:space="preserve"> ποιότητα του δανειακού χαρτοφυλακίου των πιστωτικών ιδρυμάτων </w:t>
      </w:r>
      <w:r w:rsidR="000C6FF9" w:rsidRPr="006F09F3">
        <w:rPr>
          <w:sz w:val="22"/>
          <w:szCs w:val="22"/>
          <w:lang w:val="el-GR"/>
        </w:rPr>
        <w:t xml:space="preserve">το </w:t>
      </w:r>
      <w:r w:rsidR="00B912F5">
        <w:rPr>
          <w:sz w:val="22"/>
          <w:szCs w:val="22"/>
          <w:lang w:val="el-GR"/>
        </w:rPr>
        <w:t xml:space="preserve">εν λόγω χρονικό διάστημα </w:t>
      </w:r>
      <w:r w:rsidR="006B5160" w:rsidRPr="006F09F3">
        <w:rPr>
          <w:sz w:val="22"/>
          <w:szCs w:val="22"/>
          <w:lang w:val="el-GR"/>
        </w:rPr>
        <w:t>επιδεινώθηκε</w:t>
      </w:r>
      <w:r w:rsidRPr="00DD2BAF">
        <w:rPr>
          <w:sz w:val="22"/>
          <w:szCs w:val="22"/>
          <w:lang w:val="el-GR"/>
        </w:rPr>
        <w:t xml:space="preserve"> </w:t>
      </w:r>
      <w:r w:rsidRPr="006F09F3">
        <w:rPr>
          <w:sz w:val="22"/>
          <w:szCs w:val="22"/>
          <w:lang w:val="el-GR"/>
        </w:rPr>
        <w:t>ελαφρώς</w:t>
      </w:r>
      <w:r w:rsidR="005A1BC4">
        <w:rPr>
          <w:sz w:val="22"/>
          <w:szCs w:val="22"/>
          <w:lang w:val="el-GR"/>
        </w:rPr>
        <w:t xml:space="preserve">, εξαιτίας της </w:t>
      </w:r>
      <w:r w:rsidR="005A1BC4" w:rsidRPr="005A1BC4">
        <w:rPr>
          <w:sz w:val="22"/>
          <w:szCs w:val="22"/>
          <w:lang w:val="el-GR"/>
        </w:rPr>
        <w:t>ενσωμάτωση</w:t>
      </w:r>
      <w:r w:rsidR="005A1BC4">
        <w:rPr>
          <w:sz w:val="22"/>
          <w:szCs w:val="22"/>
          <w:lang w:val="el-GR"/>
        </w:rPr>
        <w:t>ς</w:t>
      </w:r>
      <w:r w:rsidR="005A1BC4" w:rsidRPr="005A1BC4">
        <w:rPr>
          <w:sz w:val="22"/>
          <w:szCs w:val="22"/>
          <w:lang w:val="el-GR"/>
        </w:rPr>
        <w:t xml:space="preserve"> </w:t>
      </w:r>
      <w:bookmarkStart w:id="0" w:name="_Hlk180483213"/>
      <w:r w:rsidR="005D3FB6">
        <w:rPr>
          <w:sz w:val="22"/>
          <w:szCs w:val="22"/>
          <w:lang w:val="el-GR"/>
        </w:rPr>
        <w:t xml:space="preserve">συγκεκριμένων κατηγοριών </w:t>
      </w:r>
      <w:bookmarkEnd w:id="0"/>
      <w:r w:rsidR="00190BDE" w:rsidRPr="005A1BC4">
        <w:rPr>
          <w:sz w:val="22"/>
          <w:szCs w:val="22"/>
          <w:lang w:val="el-GR"/>
        </w:rPr>
        <w:t xml:space="preserve">δανείων με εγγύηση του Ελληνικού Δημοσίου </w:t>
      </w:r>
      <w:r w:rsidR="005A1BC4" w:rsidRPr="005A1BC4">
        <w:rPr>
          <w:sz w:val="22"/>
          <w:szCs w:val="22"/>
          <w:lang w:val="el-GR"/>
        </w:rPr>
        <w:t xml:space="preserve">στην περίμετρο των </w:t>
      </w:r>
      <w:r>
        <w:rPr>
          <w:sz w:val="22"/>
          <w:szCs w:val="22"/>
          <w:lang w:val="el-GR"/>
        </w:rPr>
        <w:t>μη εξυπηρετούμενων δανείων (ΜΕΔ)</w:t>
      </w:r>
      <w:r w:rsidR="005D3FB6">
        <w:rPr>
          <w:sz w:val="22"/>
          <w:szCs w:val="22"/>
          <w:lang w:val="el-GR"/>
        </w:rPr>
        <w:t>,</w:t>
      </w:r>
      <w:r w:rsidR="005A1BC4" w:rsidRPr="005A1BC4">
        <w:rPr>
          <w:sz w:val="22"/>
          <w:szCs w:val="22"/>
          <w:lang w:val="el-GR"/>
        </w:rPr>
        <w:t xml:space="preserve"> μετά από εποπτική απαίτηση</w:t>
      </w:r>
      <w:r w:rsidR="005A1BC4">
        <w:rPr>
          <w:sz w:val="22"/>
          <w:szCs w:val="22"/>
          <w:lang w:val="el-GR"/>
        </w:rPr>
        <w:t xml:space="preserve">. Επισημαίνεται ότι ο </w:t>
      </w:r>
      <w:r w:rsidR="00B912F5" w:rsidRPr="006F09F3">
        <w:rPr>
          <w:sz w:val="22"/>
          <w:szCs w:val="22"/>
          <w:lang w:val="el-GR"/>
        </w:rPr>
        <w:t xml:space="preserve">δείκτης ΜΕΔ σε επίπεδο τραπεζικού τομέα </w:t>
      </w:r>
      <w:r>
        <w:rPr>
          <w:sz w:val="22"/>
          <w:szCs w:val="22"/>
          <w:lang w:val="el-GR"/>
        </w:rPr>
        <w:t xml:space="preserve">(Ιούνιος 2024: 6,9%) </w:t>
      </w:r>
      <w:r w:rsidR="00B912F5" w:rsidRPr="006F09F3">
        <w:rPr>
          <w:sz w:val="22"/>
          <w:szCs w:val="22"/>
          <w:lang w:val="el-GR"/>
        </w:rPr>
        <w:t>εξακολουθεί να παραμένει υψηλός και πολλαπλάσιος του ευρωπαϊκού μέσου όρου (Ιούνιος 2024: 2,3%).</w:t>
      </w:r>
    </w:p>
    <w:p w14:paraId="78452674" w14:textId="4702CC6B" w:rsidR="00B615DB" w:rsidRPr="00411022" w:rsidRDefault="002959AA" w:rsidP="00AC319B">
      <w:pPr>
        <w:spacing w:before="240" w:line="360" w:lineRule="auto"/>
        <w:jc w:val="both"/>
        <w:rPr>
          <w:sz w:val="22"/>
          <w:szCs w:val="22"/>
          <w:lang w:val="el-GR"/>
        </w:rPr>
      </w:pPr>
      <w:r w:rsidRPr="00962189">
        <w:rPr>
          <w:sz w:val="22"/>
          <w:szCs w:val="22"/>
          <w:lang w:val="el-GR"/>
        </w:rPr>
        <w:lastRenderedPageBreak/>
        <w:t xml:space="preserve">Οι προοπτικές </w:t>
      </w:r>
      <w:r>
        <w:rPr>
          <w:sz w:val="22"/>
          <w:szCs w:val="22"/>
          <w:lang w:val="el-GR"/>
        </w:rPr>
        <w:t>τ</w:t>
      </w:r>
      <w:r w:rsidRPr="00962189">
        <w:rPr>
          <w:sz w:val="22"/>
          <w:szCs w:val="22"/>
          <w:lang w:val="el-GR"/>
        </w:rPr>
        <w:t>ου ελληνικού τραπεζικού τομέα διαγράφονται θετικές</w:t>
      </w:r>
      <w:r>
        <w:rPr>
          <w:sz w:val="22"/>
          <w:szCs w:val="22"/>
          <w:lang w:val="el-GR"/>
        </w:rPr>
        <w:t>. Ωστόσο</w:t>
      </w:r>
      <w:r w:rsidRPr="006F09F3">
        <w:rPr>
          <w:sz w:val="22"/>
          <w:szCs w:val="22"/>
          <w:lang w:val="el-GR"/>
        </w:rPr>
        <w:t xml:space="preserve">, είναι άρρηκτα συνδεδεμένες με τη μακροοικονομική πορεία της χώρας, η οποία επηρεάζεται </w:t>
      </w:r>
      <w:r w:rsidR="00411022">
        <w:rPr>
          <w:sz w:val="22"/>
          <w:szCs w:val="22"/>
          <w:lang w:val="el-GR"/>
        </w:rPr>
        <w:t xml:space="preserve">και </w:t>
      </w:r>
      <w:r w:rsidRPr="006F09F3">
        <w:rPr>
          <w:sz w:val="22"/>
          <w:szCs w:val="22"/>
          <w:lang w:val="el-GR"/>
        </w:rPr>
        <w:t xml:space="preserve">από </w:t>
      </w:r>
      <w:r w:rsidR="00984112">
        <w:rPr>
          <w:sz w:val="22"/>
          <w:szCs w:val="22"/>
          <w:lang w:val="el-GR"/>
        </w:rPr>
        <w:t xml:space="preserve">εξωγενείς </w:t>
      </w:r>
      <w:r w:rsidRPr="006F09F3">
        <w:rPr>
          <w:sz w:val="22"/>
          <w:szCs w:val="22"/>
          <w:lang w:val="el-GR"/>
        </w:rPr>
        <w:t>παρ</w:t>
      </w:r>
      <w:r w:rsidR="00984112">
        <w:rPr>
          <w:sz w:val="22"/>
          <w:szCs w:val="22"/>
          <w:lang w:val="el-GR"/>
        </w:rPr>
        <w:t>άγοντες</w:t>
      </w:r>
      <w:r w:rsidRPr="006F09F3">
        <w:rPr>
          <w:sz w:val="22"/>
          <w:szCs w:val="22"/>
          <w:lang w:val="el-GR"/>
        </w:rPr>
        <w:t xml:space="preserve">. </w:t>
      </w:r>
      <w:r w:rsidR="00AC319B">
        <w:rPr>
          <w:sz w:val="22"/>
          <w:szCs w:val="22"/>
          <w:lang w:val="el-GR"/>
        </w:rPr>
        <w:t xml:space="preserve">Η περαιτέρω όξυνση των γεωπολιτικών κινδύνων μπορεί να </w:t>
      </w:r>
      <w:r w:rsidR="00EC7C80">
        <w:rPr>
          <w:sz w:val="22"/>
          <w:szCs w:val="22"/>
          <w:lang w:val="el-GR"/>
        </w:rPr>
        <w:t xml:space="preserve">λειτουργήσει αρνητικά, ενώ </w:t>
      </w:r>
      <w:r w:rsidR="00451F0B">
        <w:rPr>
          <w:sz w:val="22"/>
          <w:szCs w:val="22"/>
          <w:lang w:val="el-GR"/>
        </w:rPr>
        <w:t>μια</w:t>
      </w:r>
      <w:r w:rsidR="00F41AC0">
        <w:rPr>
          <w:sz w:val="22"/>
          <w:szCs w:val="22"/>
          <w:lang w:val="el-GR"/>
        </w:rPr>
        <w:t xml:space="preserve"> </w:t>
      </w:r>
      <w:r w:rsidR="00F41AC0" w:rsidRPr="00AD53A0">
        <w:rPr>
          <w:sz w:val="22"/>
          <w:szCs w:val="22"/>
          <w:lang w:val="el-GR"/>
        </w:rPr>
        <w:t>απότομη ανατιμολόγηση των περιουσιακών στοιχείων στις διεθνείς αγορές χρήματος και κεφαλαίων</w:t>
      </w:r>
      <w:r w:rsidR="00F41AC0">
        <w:rPr>
          <w:sz w:val="22"/>
          <w:szCs w:val="22"/>
          <w:lang w:val="el-GR"/>
        </w:rPr>
        <w:t xml:space="preserve"> </w:t>
      </w:r>
      <w:r w:rsidR="00EC7C80">
        <w:rPr>
          <w:sz w:val="22"/>
          <w:szCs w:val="22"/>
          <w:lang w:val="el-GR"/>
        </w:rPr>
        <w:t xml:space="preserve">μπορεί να επιφέρει </w:t>
      </w:r>
      <w:r w:rsidR="00F41AC0" w:rsidRPr="002959AA">
        <w:rPr>
          <w:sz w:val="22"/>
          <w:szCs w:val="22"/>
          <w:lang w:val="el-GR"/>
        </w:rPr>
        <w:t>σημαντικές επιπτώσεις στην παγκόσμια οικονομία</w:t>
      </w:r>
      <w:r w:rsidR="00F41AC0">
        <w:rPr>
          <w:sz w:val="22"/>
          <w:szCs w:val="22"/>
          <w:lang w:val="el-GR"/>
        </w:rPr>
        <w:t xml:space="preserve">. </w:t>
      </w:r>
      <w:r w:rsidR="00AC319B">
        <w:rPr>
          <w:sz w:val="22"/>
          <w:szCs w:val="22"/>
          <w:lang w:val="el-GR"/>
        </w:rPr>
        <w:t xml:space="preserve">Επιπρόσθετα, η κλιματική </w:t>
      </w:r>
      <w:r w:rsidR="00411022">
        <w:rPr>
          <w:sz w:val="22"/>
          <w:szCs w:val="22"/>
          <w:lang w:val="el-GR"/>
        </w:rPr>
        <w:t xml:space="preserve">αλλαγή </w:t>
      </w:r>
      <w:r w:rsidR="00AC319B">
        <w:rPr>
          <w:sz w:val="22"/>
          <w:szCs w:val="22"/>
          <w:lang w:val="el-GR"/>
        </w:rPr>
        <w:t xml:space="preserve">και ο κίνδυνος </w:t>
      </w:r>
      <w:proofErr w:type="spellStart"/>
      <w:r w:rsidR="00AC319B">
        <w:rPr>
          <w:sz w:val="22"/>
          <w:szCs w:val="22"/>
          <w:lang w:val="el-GR"/>
        </w:rPr>
        <w:t>κυβερνοεπιθέσεων</w:t>
      </w:r>
      <w:proofErr w:type="spellEnd"/>
      <w:r w:rsidR="00AC319B">
        <w:rPr>
          <w:sz w:val="22"/>
          <w:szCs w:val="22"/>
          <w:lang w:val="el-GR"/>
        </w:rPr>
        <w:t xml:space="preserve"> </w:t>
      </w:r>
      <w:r w:rsidR="00A05461">
        <w:rPr>
          <w:sz w:val="22"/>
          <w:szCs w:val="22"/>
          <w:lang w:val="el-GR"/>
        </w:rPr>
        <w:t xml:space="preserve">αποτελούν </w:t>
      </w:r>
      <w:r w:rsidR="00AC319B">
        <w:rPr>
          <w:sz w:val="22"/>
          <w:szCs w:val="22"/>
          <w:lang w:val="el-GR"/>
        </w:rPr>
        <w:t>σημαντικ</w:t>
      </w:r>
      <w:r w:rsidR="00A05461">
        <w:rPr>
          <w:sz w:val="22"/>
          <w:szCs w:val="22"/>
          <w:lang w:val="el-GR"/>
        </w:rPr>
        <w:t xml:space="preserve">ούς </w:t>
      </w:r>
      <w:r w:rsidR="00EC7C80">
        <w:rPr>
          <w:sz w:val="22"/>
          <w:szCs w:val="22"/>
          <w:lang w:val="el-GR"/>
        </w:rPr>
        <w:t>κ</w:t>
      </w:r>
      <w:r w:rsidR="00A05461">
        <w:rPr>
          <w:sz w:val="22"/>
          <w:szCs w:val="22"/>
          <w:lang w:val="el-GR"/>
        </w:rPr>
        <w:t xml:space="preserve">ινδύνους </w:t>
      </w:r>
      <w:r w:rsidR="008C4E46">
        <w:rPr>
          <w:sz w:val="22"/>
          <w:szCs w:val="22"/>
          <w:lang w:val="el-GR"/>
        </w:rPr>
        <w:t>για</w:t>
      </w:r>
      <w:r w:rsidR="00AC319B">
        <w:rPr>
          <w:sz w:val="22"/>
          <w:szCs w:val="22"/>
          <w:lang w:val="el-GR"/>
        </w:rPr>
        <w:t xml:space="preserve"> τη</w:t>
      </w:r>
      <w:r w:rsidR="0069182B">
        <w:rPr>
          <w:sz w:val="22"/>
          <w:szCs w:val="22"/>
          <w:lang w:val="el-GR"/>
        </w:rPr>
        <w:t>ν εύρυθμη</w:t>
      </w:r>
      <w:r w:rsidR="00AC319B">
        <w:rPr>
          <w:sz w:val="22"/>
          <w:szCs w:val="22"/>
          <w:lang w:val="el-GR"/>
        </w:rPr>
        <w:t xml:space="preserve"> λειτουργία του χρηματοπιστωτικού συστήματος. Συμπερασματικά, </w:t>
      </w:r>
      <w:r w:rsidR="00EC7C80">
        <w:rPr>
          <w:sz w:val="22"/>
          <w:szCs w:val="22"/>
          <w:lang w:val="el-GR"/>
        </w:rPr>
        <w:t xml:space="preserve">η </w:t>
      </w:r>
      <w:r w:rsidR="00B615DB">
        <w:rPr>
          <w:sz w:val="22"/>
          <w:szCs w:val="22"/>
          <w:lang w:val="el-GR"/>
        </w:rPr>
        <w:t xml:space="preserve">εξασφάλιση </w:t>
      </w:r>
      <w:r w:rsidR="00EC7C80">
        <w:rPr>
          <w:sz w:val="22"/>
          <w:szCs w:val="22"/>
          <w:lang w:val="el-GR"/>
        </w:rPr>
        <w:t xml:space="preserve">συνθηκών χρηματοπιστωτικής σταθερότητας εξαρτάται σε μεγάλο βαθμό </w:t>
      </w:r>
      <w:r w:rsidR="00B615DB">
        <w:rPr>
          <w:sz w:val="22"/>
          <w:szCs w:val="22"/>
          <w:lang w:val="el-GR"/>
        </w:rPr>
        <w:t xml:space="preserve">από την </w:t>
      </w:r>
      <w:r w:rsidR="00EC7C80">
        <w:rPr>
          <w:sz w:val="22"/>
          <w:szCs w:val="22"/>
          <w:lang w:val="el-GR"/>
        </w:rPr>
        <w:t xml:space="preserve">περαιτέρω θωράκιση του </w:t>
      </w:r>
      <w:r w:rsidR="00B615DB">
        <w:rPr>
          <w:sz w:val="22"/>
          <w:szCs w:val="22"/>
          <w:lang w:val="el-GR"/>
        </w:rPr>
        <w:t xml:space="preserve">ελληνικού </w:t>
      </w:r>
      <w:r w:rsidR="00EC7C80">
        <w:rPr>
          <w:sz w:val="22"/>
          <w:szCs w:val="22"/>
          <w:lang w:val="el-GR"/>
        </w:rPr>
        <w:t>τραπεζικού τομέα</w:t>
      </w:r>
      <w:r w:rsidR="002843B1">
        <w:rPr>
          <w:sz w:val="22"/>
          <w:szCs w:val="22"/>
          <w:lang w:val="el-GR"/>
        </w:rPr>
        <w:t xml:space="preserve">. Ταυτόχρονα, </w:t>
      </w:r>
      <w:r w:rsidR="00A05461">
        <w:rPr>
          <w:sz w:val="22"/>
          <w:szCs w:val="22"/>
          <w:lang w:val="el-GR"/>
        </w:rPr>
        <w:t xml:space="preserve">αναδεικνύεται η σημασία </w:t>
      </w:r>
      <w:r w:rsidR="006E741E">
        <w:rPr>
          <w:sz w:val="22"/>
          <w:szCs w:val="22"/>
          <w:lang w:val="el-GR"/>
        </w:rPr>
        <w:t xml:space="preserve">της </w:t>
      </w:r>
      <w:r w:rsidR="00B615DB">
        <w:rPr>
          <w:sz w:val="22"/>
          <w:szCs w:val="22"/>
          <w:lang w:val="el-GR"/>
        </w:rPr>
        <w:t>προώθηση</w:t>
      </w:r>
      <w:r w:rsidR="00A05461">
        <w:rPr>
          <w:sz w:val="22"/>
          <w:szCs w:val="22"/>
          <w:lang w:val="el-GR"/>
        </w:rPr>
        <w:t>ς</w:t>
      </w:r>
      <w:r w:rsidR="00B615DB">
        <w:rPr>
          <w:sz w:val="22"/>
          <w:szCs w:val="22"/>
          <w:lang w:val="el-GR"/>
        </w:rPr>
        <w:t xml:space="preserve"> </w:t>
      </w:r>
      <w:r w:rsidR="005A1BC4">
        <w:rPr>
          <w:sz w:val="22"/>
          <w:szCs w:val="22"/>
          <w:lang w:val="el-GR"/>
        </w:rPr>
        <w:t xml:space="preserve">των απαραίτητων </w:t>
      </w:r>
      <w:r w:rsidR="00B615DB">
        <w:rPr>
          <w:sz w:val="22"/>
          <w:szCs w:val="22"/>
          <w:lang w:val="el-GR"/>
        </w:rPr>
        <w:t xml:space="preserve">μεταρρυθμίσεων </w:t>
      </w:r>
      <w:r w:rsidR="008C4E46">
        <w:rPr>
          <w:sz w:val="22"/>
          <w:szCs w:val="22"/>
          <w:lang w:val="el-GR"/>
        </w:rPr>
        <w:t xml:space="preserve">με στόχο την </w:t>
      </w:r>
      <w:r w:rsidR="00085595">
        <w:rPr>
          <w:sz w:val="22"/>
          <w:szCs w:val="22"/>
          <w:lang w:val="el-GR"/>
        </w:rPr>
        <w:t xml:space="preserve">εμβάθυνση </w:t>
      </w:r>
      <w:r w:rsidR="00B615DB">
        <w:rPr>
          <w:sz w:val="22"/>
          <w:szCs w:val="22"/>
          <w:lang w:val="el-GR"/>
        </w:rPr>
        <w:t xml:space="preserve">της </w:t>
      </w:r>
      <w:r w:rsidR="00A50037">
        <w:rPr>
          <w:sz w:val="22"/>
          <w:szCs w:val="22"/>
          <w:lang w:val="el-GR"/>
        </w:rPr>
        <w:t>Τ</w:t>
      </w:r>
      <w:r w:rsidR="00B615DB">
        <w:rPr>
          <w:sz w:val="22"/>
          <w:szCs w:val="22"/>
          <w:lang w:val="el-GR"/>
        </w:rPr>
        <w:t xml:space="preserve">ραπεζικής </w:t>
      </w:r>
      <w:r w:rsidR="00A50037">
        <w:rPr>
          <w:sz w:val="22"/>
          <w:szCs w:val="22"/>
          <w:lang w:val="el-GR"/>
        </w:rPr>
        <w:t>Έ</w:t>
      </w:r>
      <w:r w:rsidR="00B615DB">
        <w:rPr>
          <w:sz w:val="22"/>
          <w:szCs w:val="22"/>
          <w:lang w:val="el-GR"/>
        </w:rPr>
        <w:t>νωσης</w:t>
      </w:r>
      <w:r w:rsidR="00085595">
        <w:rPr>
          <w:sz w:val="22"/>
          <w:szCs w:val="22"/>
          <w:lang w:val="el-GR"/>
        </w:rPr>
        <w:t xml:space="preserve"> και την ενίσχυση της ανταγωνιστικότητας σε επίπεδο ΕΕ</w:t>
      </w:r>
      <w:r w:rsidR="00B615DB">
        <w:rPr>
          <w:sz w:val="22"/>
          <w:szCs w:val="22"/>
          <w:lang w:val="el-GR"/>
        </w:rPr>
        <w:t>.</w:t>
      </w:r>
    </w:p>
    <w:p w14:paraId="0FE12BDA" w14:textId="77777777" w:rsidR="001F78AA" w:rsidRPr="00A97263" w:rsidRDefault="001F78AA" w:rsidP="00614A99">
      <w:pPr>
        <w:spacing w:before="240" w:line="360" w:lineRule="auto"/>
        <w:jc w:val="both"/>
        <w:rPr>
          <w:b/>
          <w:sz w:val="22"/>
          <w:szCs w:val="22"/>
          <w:highlight w:val="yellow"/>
          <w:u w:val="single"/>
          <w:lang w:val="el-GR"/>
        </w:rPr>
      </w:pPr>
    </w:p>
    <w:p w14:paraId="4C5BF97A" w14:textId="77777777" w:rsidR="00F5007A" w:rsidRPr="00A97263" w:rsidRDefault="000D5526" w:rsidP="00614A99">
      <w:pPr>
        <w:spacing w:before="240" w:line="360" w:lineRule="auto"/>
        <w:jc w:val="both"/>
        <w:rPr>
          <w:b/>
          <w:sz w:val="22"/>
          <w:szCs w:val="22"/>
          <w:u w:val="single"/>
          <w:lang w:val="el-GR"/>
        </w:rPr>
      </w:pPr>
      <w:r w:rsidRPr="00A97263">
        <w:rPr>
          <w:b/>
          <w:sz w:val="22"/>
          <w:szCs w:val="22"/>
          <w:u w:val="single"/>
          <w:lang w:val="el-GR"/>
        </w:rPr>
        <w:t>Σχετικ</w:t>
      </w:r>
      <w:r w:rsidR="00276886" w:rsidRPr="00A97263">
        <w:rPr>
          <w:b/>
          <w:sz w:val="22"/>
          <w:szCs w:val="22"/>
          <w:u w:val="single"/>
          <w:lang w:val="el-GR"/>
        </w:rPr>
        <w:t>ός</w:t>
      </w:r>
      <w:r w:rsidRPr="00A97263">
        <w:rPr>
          <w:b/>
          <w:sz w:val="22"/>
          <w:szCs w:val="22"/>
          <w:u w:val="single"/>
          <w:lang w:val="el-GR"/>
        </w:rPr>
        <w:t xml:space="preserve"> σύνδεσμο</w:t>
      </w:r>
      <w:r w:rsidR="00276886" w:rsidRPr="00A97263">
        <w:rPr>
          <w:b/>
          <w:sz w:val="22"/>
          <w:szCs w:val="22"/>
          <w:u w:val="single"/>
          <w:lang w:val="el-GR"/>
        </w:rPr>
        <w:t>ς</w:t>
      </w:r>
      <w:r w:rsidRPr="00A97263">
        <w:rPr>
          <w:bCs/>
          <w:sz w:val="22"/>
          <w:szCs w:val="22"/>
          <w:lang w:val="el-GR"/>
        </w:rPr>
        <w:t>:</w:t>
      </w:r>
    </w:p>
    <w:p w14:paraId="7F7E8865" w14:textId="3D994277" w:rsidR="007D58E3" w:rsidRPr="00A97263" w:rsidRDefault="0034583E" w:rsidP="007D58E3">
      <w:pPr>
        <w:spacing w:before="240" w:line="360" w:lineRule="auto"/>
        <w:jc w:val="both"/>
        <w:rPr>
          <w:sz w:val="22"/>
          <w:szCs w:val="22"/>
          <w:lang w:val="el-GR"/>
        </w:rPr>
      </w:pPr>
      <w:hyperlink r:id="rId12" w:history="1">
        <w:r w:rsidR="00293D3D" w:rsidRPr="0034583E">
          <w:rPr>
            <w:rStyle w:val="Hyperlink"/>
            <w:sz w:val="22"/>
            <w:szCs w:val="22"/>
            <w:lang w:val="el-GR"/>
          </w:rPr>
          <w:t>Έκθεση Χρηματοπιστωτικής Σταθερότητας</w:t>
        </w:r>
        <w:r w:rsidR="007408E6" w:rsidRPr="0034583E">
          <w:rPr>
            <w:rStyle w:val="Hyperlink"/>
            <w:sz w:val="22"/>
            <w:szCs w:val="22"/>
            <w:lang w:val="el-GR"/>
          </w:rPr>
          <w:t>,</w:t>
        </w:r>
        <w:r w:rsidR="00293D3D" w:rsidRPr="0034583E">
          <w:rPr>
            <w:rStyle w:val="Hyperlink"/>
            <w:sz w:val="22"/>
            <w:szCs w:val="22"/>
            <w:lang w:val="el-GR"/>
          </w:rPr>
          <w:t xml:space="preserve"> </w:t>
        </w:r>
        <w:r w:rsidR="006B5160" w:rsidRPr="0034583E">
          <w:rPr>
            <w:rStyle w:val="Hyperlink"/>
            <w:sz w:val="22"/>
            <w:szCs w:val="22"/>
            <w:lang w:val="el-GR"/>
          </w:rPr>
          <w:t xml:space="preserve">Οκτώβριος </w:t>
        </w:r>
        <w:r w:rsidR="00293D3D" w:rsidRPr="0034583E">
          <w:rPr>
            <w:rStyle w:val="Hyperlink"/>
            <w:sz w:val="22"/>
            <w:szCs w:val="22"/>
            <w:lang w:val="el-GR"/>
          </w:rPr>
          <w:t>202</w:t>
        </w:r>
        <w:r w:rsidR="005B4195" w:rsidRPr="0034583E">
          <w:rPr>
            <w:rStyle w:val="Hyperlink"/>
            <w:sz w:val="22"/>
            <w:szCs w:val="22"/>
            <w:lang w:val="el-GR"/>
          </w:rPr>
          <w:t>4</w:t>
        </w:r>
      </w:hyperlink>
    </w:p>
    <w:p w14:paraId="34438B0B" w14:textId="77777777" w:rsidR="00F5007A" w:rsidRPr="00A97263" w:rsidRDefault="00F5007A" w:rsidP="00614A99">
      <w:pPr>
        <w:spacing w:before="240" w:line="360" w:lineRule="auto"/>
        <w:jc w:val="both"/>
        <w:rPr>
          <w:color w:val="1F497D"/>
          <w:sz w:val="22"/>
          <w:szCs w:val="22"/>
          <w:u w:val="single"/>
          <w:lang w:val="el-GR"/>
        </w:rPr>
      </w:pPr>
    </w:p>
    <w:sectPr w:rsidR="00F5007A" w:rsidRPr="00A97263" w:rsidSect="00FA1739">
      <w:footerReference w:type="default" r:id="rId13"/>
      <w:footerReference w:type="first" r:id="rId14"/>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06A4" w14:textId="77777777" w:rsidR="00EE5611" w:rsidRDefault="00EE5611">
      <w:r>
        <w:separator/>
      </w:r>
    </w:p>
  </w:endnote>
  <w:endnote w:type="continuationSeparator" w:id="0">
    <w:p w14:paraId="5CB684B3" w14:textId="77777777" w:rsidR="00EE5611" w:rsidRDefault="00EE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6114" w14:textId="77777777" w:rsidR="0034583E" w:rsidRDefault="0034583E" w:rsidP="0034583E">
    <w:pPr>
      <w:tabs>
        <w:tab w:val="left" w:pos="2288"/>
      </w:tabs>
      <w:spacing w:line="360" w:lineRule="auto"/>
      <w:ind w:right="360"/>
      <w:rPr>
        <w:sz w:val="14"/>
        <w:lang w:val="el-GR"/>
      </w:rPr>
    </w:pPr>
    <w:r>
      <w:rPr>
        <w:sz w:val="20"/>
      </w:rPr>
      <w:tab/>
    </w:r>
  </w:p>
  <w:p w14:paraId="429A2B16" w14:textId="77777777" w:rsidR="0034583E" w:rsidRDefault="0034583E" w:rsidP="0034583E">
    <w:pPr>
      <w:pStyle w:val="Footer"/>
      <w:framePr w:wrap="auto" w:vAnchor="text" w:hAnchor="page" w:x="10807" w:y="301"/>
      <w:rPr>
        <w:rFonts w:ascii="Arial" w:hAnsi="Arial" w:cs="Arial"/>
      </w:rPr>
    </w:pPr>
  </w:p>
  <w:tbl>
    <w:tblPr>
      <w:tblW w:w="9498" w:type="dxa"/>
      <w:tblInd w:w="108" w:type="dxa"/>
      <w:tblBorders>
        <w:left w:val="single" w:sz="48" w:space="0" w:color="DEA400"/>
      </w:tblBorders>
      <w:tblLook w:val="04A0" w:firstRow="1" w:lastRow="0" w:firstColumn="1" w:lastColumn="0" w:noHBand="0" w:noVBand="1"/>
    </w:tblPr>
    <w:tblGrid>
      <w:gridCol w:w="4917"/>
      <w:gridCol w:w="4581"/>
    </w:tblGrid>
    <w:tr w:rsidR="0034583E" w14:paraId="3F716DCE" w14:textId="77777777" w:rsidTr="0034583E">
      <w:tc>
        <w:tcPr>
          <w:tcW w:w="4917" w:type="dxa"/>
          <w:tcBorders>
            <w:top w:val="nil"/>
            <w:left w:val="single" w:sz="48" w:space="0" w:color="BC9E6E"/>
            <w:bottom w:val="nil"/>
            <w:right w:val="nil"/>
          </w:tcBorders>
          <w:hideMark/>
        </w:tcPr>
        <w:p w14:paraId="2F73B745" w14:textId="77777777" w:rsidR="0034583E" w:rsidRDefault="0034583E" w:rsidP="0034583E">
          <w:pPr>
            <w:pStyle w:val="Footer"/>
            <w:tabs>
              <w:tab w:val="left" w:pos="5220"/>
            </w:tabs>
            <w:spacing w:before="60" w:after="60" w:line="256" w:lineRule="auto"/>
            <w:ind w:firstLine="176"/>
            <w:rPr>
              <w:rFonts w:ascii="Arial" w:hAnsi="Arial" w:cs="Arial"/>
              <w:kern w:val="2"/>
              <w:sz w:val="14"/>
              <w:lang w:val="el-GR" w:eastAsia="en-US"/>
            </w:rPr>
          </w:pPr>
          <w:r>
            <w:rPr>
              <w:rFonts w:ascii="Arial" w:hAnsi="Arial" w:cs="Arial"/>
              <w:kern w:val="2"/>
              <w:sz w:val="14"/>
              <w:lang w:val="el-GR" w:eastAsia="en-US"/>
            </w:rPr>
            <w:t>Ελ. Βενιζέλου 21, Αθήνα 10250</w:t>
          </w:r>
        </w:p>
        <w:p w14:paraId="054AA876" w14:textId="77777777" w:rsidR="0034583E" w:rsidRDefault="0034583E" w:rsidP="0034583E">
          <w:pPr>
            <w:pStyle w:val="Footer"/>
            <w:tabs>
              <w:tab w:val="left" w:pos="5220"/>
            </w:tabs>
            <w:spacing w:before="60" w:after="60" w:line="256" w:lineRule="auto"/>
            <w:ind w:firstLine="176"/>
            <w:rPr>
              <w:rFonts w:ascii="Arial" w:hAnsi="Arial" w:cs="Arial"/>
              <w:kern w:val="2"/>
              <w:sz w:val="14"/>
              <w:lang w:val="el-GR" w:eastAsia="en-US"/>
            </w:rPr>
          </w:pPr>
          <w:proofErr w:type="spellStart"/>
          <w:r>
            <w:rPr>
              <w:rFonts w:ascii="Arial" w:hAnsi="Arial" w:cs="Arial"/>
              <w:kern w:val="2"/>
              <w:sz w:val="14"/>
              <w:lang w:val="el-GR" w:eastAsia="en-US"/>
            </w:rPr>
            <w:t>Τηλ</w:t>
          </w:r>
          <w:proofErr w:type="spellEnd"/>
          <w:r>
            <w:rPr>
              <w:rFonts w:ascii="Arial" w:hAnsi="Arial" w:cs="Arial"/>
              <w:kern w:val="2"/>
              <w:sz w:val="14"/>
              <w:lang w:val="el-GR" w:eastAsia="en-US"/>
            </w:rPr>
            <w:t>: 210 320 3446-8</w:t>
          </w:r>
        </w:p>
        <w:p w14:paraId="1C2D7AE8" w14:textId="77777777" w:rsidR="0034583E" w:rsidRDefault="0034583E" w:rsidP="0034583E">
          <w:pPr>
            <w:pStyle w:val="Footer"/>
            <w:tabs>
              <w:tab w:val="left" w:pos="5220"/>
            </w:tabs>
            <w:spacing w:before="60" w:after="60" w:line="256" w:lineRule="auto"/>
            <w:ind w:firstLine="176"/>
            <w:rPr>
              <w:rFonts w:ascii="Arial" w:hAnsi="Arial" w:cs="Arial"/>
              <w:kern w:val="2"/>
              <w:sz w:val="14"/>
              <w:lang w:val="el-GR" w:eastAsia="en-US"/>
            </w:rPr>
          </w:pPr>
          <w:hyperlink r:id="rId1" w:history="1">
            <w:r>
              <w:rPr>
                <w:rStyle w:val="Hyperlink"/>
                <w:rFonts w:ascii="Arial" w:hAnsi="Arial"/>
                <w:kern w:val="2"/>
                <w:sz w:val="14"/>
                <w:lang w:eastAsia="en-US"/>
              </w:rPr>
              <w:t>press</w:t>
            </w:r>
            <w:r>
              <w:rPr>
                <w:rStyle w:val="Hyperlink"/>
                <w:rFonts w:ascii="Arial" w:hAnsi="Arial"/>
                <w:kern w:val="2"/>
                <w:sz w:val="14"/>
                <w:lang w:val="el-GR" w:eastAsia="en-US"/>
              </w:rPr>
              <w:t>@</w:t>
            </w:r>
            <w:r>
              <w:rPr>
                <w:rStyle w:val="Hyperlink"/>
                <w:rFonts w:ascii="Arial" w:hAnsi="Arial"/>
                <w:kern w:val="2"/>
                <w:sz w:val="14"/>
                <w:lang w:eastAsia="en-US"/>
              </w:rPr>
              <w:t>bankofgreece</w:t>
            </w:r>
            <w:r>
              <w:rPr>
                <w:rStyle w:val="Hyperlink"/>
                <w:rFonts w:ascii="Arial" w:hAnsi="Arial"/>
                <w:kern w:val="2"/>
                <w:sz w:val="14"/>
                <w:lang w:val="el-GR" w:eastAsia="en-US"/>
              </w:rPr>
              <w:t>.</w:t>
            </w:r>
            <w:r>
              <w:rPr>
                <w:rStyle w:val="Hyperlink"/>
                <w:rFonts w:ascii="Arial" w:hAnsi="Arial"/>
                <w:kern w:val="2"/>
                <w:sz w:val="14"/>
                <w:lang w:eastAsia="en-US"/>
              </w:rPr>
              <w:t>gr</w:t>
            </w:r>
          </w:hyperlink>
          <w:r>
            <w:rPr>
              <w:rFonts w:ascii="Arial" w:hAnsi="Arial"/>
              <w:kern w:val="2"/>
              <w:sz w:val="14"/>
              <w:lang w:val="el-GR" w:eastAsia="en-US"/>
            </w:rPr>
            <w:t xml:space="preserve"> | </w:t>
          </w:r>
          <w:hyperlink r:id="rId2" w:history="1">
            <w:r>
              <w:rPr>
                <w:rStyle w:val="Hyperlink"/>
                <w:rFonts w:ascii="Arial" w:hAnsi="Arial"/>
                <w:kern w:val="2"/>
                <w:sz w:val="14"/>
                <w:lang w:eastAsia="en-US"/>
              </w:rPr>
              <w:t>www</w:t>
            </w:r>
            <w:r>
              <w:rPr>
                <w:rStyle w:val="Hyperlink"/>
                <w:rFonts w:ascii="Arial" w:hAnsi="Arial"/>
                <w:kern w:val="2"/>
                <w:sz w:val="14"/>
                <w:lang w:val="el-GR" w:eastAsia="en-US"/>
              </w:rPr>
              <w:t>.</w:t>
            </w:r>
            <w:r>
              <w:rPr>
                <w:rStyle w:val="Hyperlink"/>
                <w:rFonts w:ascii="Arial" w:hAnsi="Arial"/>
                <w:kern w:val="2"/>
                <w:sz w:val="14"/>
                <w:lang w:eastAsia="en-US"/>
              </w:rPr>
              <w:t>bankofgreece</w:t>
            </w:r>
            <w:r>
              <w:rPr>
                <w:rStyle w:val="Hyperlink"/>
                <w:rFonts w:ascii="Arial" w:hAnsi="Arial"/>
                <w:kern w:val="2"/>
                <w:sz w:val="14"/>
                <w:lang w:val="el-GR" w:eastAsia="en-US"/>
              </w:rPr>
              <w:t>.</w:t>
            </w:r>
            <w:r>
              <w:rPr>
                <w:rStyle w:val="Hyperlink"/>
                <w:rFonts w:ascii="Arial" w:hAnsi="Arial"/>
                <w:kern w:val="2"/>
                <w:sz w:val="14"/>
                <w:lang w:eastAsia="en-US"/>
              </w:rPr>
              <w:t>gr</w:t>
            </w:r>
          </w:hyperlink>
        </w:p>
      </w:tc>
      <w:tc>
        <w:tcPr>
          <w:tcW w:w="4581" w:type="dxa"/>
          <w:tcBorders>
            <w:top w:val="nil"/>
            <w:left w:val="nil"/>
            <w:bottom w:val="nil"/>
            <w:right w:val="nil"/>
          </w:tcBorders>
          <w:hideMark/>
        </w:tcPr>
        <w:p w14:paraId="17D0C710" w14:textId="77777777" w:rsidR="0034583E" w:rsidRDefault="0034583E" w:rsidP="0034583E">
          <w:pPr>
            <w:pStyle w:val="Footer"/>
            <w:tabs>
              <w:tab w:val="left" w:pos="5220"/>
            </w:tabs>
            <w:spacing w:before="60" w:after="60" w:line="256" w:lineRule="auto"/>
            <w:jc w:val="right"/>
            <w:rPr>
              <w:rFonts w:ascii="Arial" w:hAnsi="Arial" w:cs="Arial"/>
              <w:color w:val="auto"/>
              <w:kern w:val="2"/>
              <w:sz w:val="14"/>
              <w:lang w:val="el-GR" w:eastAsia="en-US"/>
            </w:rPr>
          </w:pPr>
          <w:r>
            <w:rPr>
              <w:rFonts w:ascii="Arial" w:hAnsi="Arial" w:cs="Arial"/>
              <w:color w:val="auto"/>
              <w:kern w:val="2"/>
              <w:sz w:val="18"/>
              <w:lang w:val="en-US" w:eastAsia="en-US"/>
            </w:rPr>
            <w:fldChar w:fldCharType="begin"/>
          </w:r>
          <w:r>
            <w:rPr>
              <w:rFonts w:ascii="Arial" w:hAnsi="Arial" w:cs="Arial"/>
              <w:color w:val="auto"/>
              <w:kern w:val="2"/>
              <w:sz w:val="18"/>
              <w:lang w:val="en-US" w:eastAsia="en-US"/>
            </w:rPr>
            <w:instrText xml:space="preserve"> PAGE   \* MERGEFORMAT </w:instrText>
          </w:r>
          <w:r>
            <w:rPr>
              <w:rFonts w:ascii="Arial" w:hAnsi="Arial" w:cs="Arial"/>
              <w:color w:val="auto"/>
              <w:kern w:val="2"/>
              <w:sz w:val="18"/>
              <w:lang w:val="en-US" w:eastAsia="en-US"/>
            </w:rPr>
            <w:fldChar w:fldCharType="separate"/>
          </w:r>
          <w:r>
            <w:rPr>
              <w:rFonts w:ascii="Arial" w:hAnsi="Arial" w:cs="Arial"/>
              <w:kern w:val="2"/>
              <w:sz w:val="18"/>
              <w:lang w:val="en-US" w:eastAsia="en-US"/>
            </w:rPr>
            <w:t>1</w:t>
          </w:r>
          <w:r>
            <w:rPr>
              <w:rFonts w:ascii="Arial" w:hAnsi="Arial" w:cs="Arial"/>
              <w:noProof/>
              <w:color w:val="auto"/>
              <w:kern w:val="2"/>
              <w:sz w:val="18"/>
              <w:lang w:val="en-US" w:eastAsia="en-US"/>
            </w:rPr>
            <w:fldChar w:fldCharType="end"/>
          </w:r>
          <w:r>
            <w:rPr>
              <w:rFonts w:ascii="Arial" w:hAnsi="Arial" w:cs="Arial"/>
              <w:noProof/>
              <w:color w:val="auto"/>
              <w:kern w:val="2"/>
              <w:sz w:val="18"/>
              <w:lang w:val="el-GR" w:eastAsia="en-US"/>
            </w:rPr>
            <w:t xml:space="preserve"> </w:t>
          </w:r>
          <w:r>
            <w:rPr>
              <w:rFonts w:ascii="Arial Black" w:hAnsi="Arial Black" w:cs="Arial"/>
              <w:b/>
              <w:noProof/>
              <w:color w:val="948A54"/>
              <w:kern w:val="2"/>
              <w:sz w:val="22"/>
              <w:lang w:val="el-GR" w:eastAsia="en-US"/>
            </w:rPr>
            <w:t>|</w:t>
          </w:r>
        </w:p>
      </w:tc>
    </w:tr>
  </w:tbl>
  <w:p w14:paraId="7D8E4C20" w14:textId="77777777" w:rsidR="0034583E" w:rsidRDefault="0034583E" w:rsidP="0034583E">
    <w:pPr>
      <w:pStyle w:val="Footer"/>
      <w:ind w:right="360"/>
      <w:rPr>
        <w:lang w:val="de-DE"/>
        <w14:ligatures w14:val="standardContextual"/>
      </w:rPr>
    </w:pPr>
  </w:p>
  <w:p w14:paraId="4973BFAC" w14:textId="77777777" w:rsidR="00906441" w:rsidRPr="0034583E" w:rsidRDefault="00906441" w:rsidP="00345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D102" w14:textId="77777777" w:rsidR="00906441" w:rsidRDefault="00906441">
    <w:pPr>
      <w:pStyle w:val="Footer"/>
      <w:rPr>
        <w:sz w:val="20"/>
        <w:lang w:val="de-DE"/>
      </w:rPr>
    </w:pPr>
  </w:p>
  <w:p w14:paraId="247E1691" w14:textId="77777777" w:rsidR="00906441" w:rsidRDefault="0090644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4B02" w14:textId="77777777" w:rsidR="00EE5611" w:rsidRDefault="00EE5611">
      <w:r>
        <w:separator/>
      </w:r>
    </w:p>
  </w:footnote>
  <w:footnote w:type="continuationSeparator" w:id="0">
    <w:p w14:paraId="40EA4BC7" w14:textId="77777777" w:rsidR="00EE5611" w:rsidRDefault="00EE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3EB0"/>
    <w:multiLevelType w:val="hybridMultilevel"/>
    <w:tmpl w:val="4900F37A"/>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4789965">
    <w:abstractNumId w:val="2"/>
  </w:num>
  <w:num w:numId="2" w16cid:durableId="1166674836">
    <w:abstractNumId w:val="4"/>
  </w:num>
  <w:num w:numId="3" w16cid:durableId="796727334">
    <w:abstractNumId w:val="3"/>
  </w:num>
  <w:num w:numId="4" w16cid:durableId="1586528254">
    <w:abstractNumId w:val="1"/>
  </w:num>
  <w:num w:numId="5" w16cid:durableId="206170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gutterAtTop/>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4A"/>
    <w:rsid w:val="00000C12"/>
    <w:rsid w:val="0000127C"/>
    <w:rsid w:val="000031EC"/>
    <w:rsid w:val="00004174"/>
    <w:rsid w:val="000160E2"/>
    <w:rsid w:val="0001682C"/>
    <w:rsid w:val="0002101A"/>
    <w:rsid w:val="00022F02"/>
    <w:rsid w:val="00023F99"/>
    <w:rsid w:val="000243A3"/>
    <w:rsid w:val="000272CF"/>
    <w:rsid w:val="00030F67"/>
    <w:rsid w:val="00032171"/>
    <w:rsid w:val="00034558"/>
    <w:rsid w:val="00034EB3"/>
    <w:rsid w:val="00037147"/>
    <w:rsid w:val="0004038F"/>
    <w:rsid w:val="0004275F"/>
    <w:rsid w:val="00044C8F"/>
    <w:rsid w:val="00045338"/>
    <w:rsid w:val="0005740C"/>
    <w:rsid w:val="00071EEE"/>
    <w:rsid w:val="00072144"/>
    <w:rsid w:val="00073219"/>
    <w:rsid w:val="00082A28"/>
    <w:rsid w:val="00083E45"/>
    <w:rsid w:val="0008513E"/>
    <w:rsid w:val="00085595"/>
    <w:rsid w:val="00092115"/>
    <w:rsid w:val="00096247"/>
    <w:rsid w:val="000A01CF"/>
    <w:rsid w:val="000A19EB"/>
    <w:rsid w:val="000A288F"/>
    <w:rsid w:val="000A304A"/>
    <w:rsid w:val="000A3C72"/>
    <w:rsid w:val="000A4140"/>
    <w:rsid w:val="000A5141"/>
    <w:rsid w:val="000A6028"/>
    <w:rsid w:val="000A678C"/>
    <w:rsid w:val="000B07AB"/>
    <w:rsid w:val="000B1407"/>
    <w:rsid w:val="000B1A83"/>
    <w:rsid w:val="000C0FE4"/>
    <w:rsid w:val="000C127A"/>
    <w:rsid w:val="000C32E3"/>
    <w:rsid w:val="000C4516"/>
    <w:rsid w:val="000C46DD"/>
    <w:rsid w:val="000C5182"/>
    <w:rsid w:val="000C68D8"/>
    <w:rsid w:val="000C6FF9"/>
    <w:rsid w:val="000D0221"/>
    <w:rsid w:val="000D140F"/>
    <w:rsid w:val="000D1A19"/>
    <w:rsid w:val="000D36F5"/>
    <w:rsid w:val="000D5526"/>
    <w:rsid w:val="000E092F"/>
    <w:rsid w:val="000E22AA"/>
    <w:rsid w:val="000E2F15"/>
    <w:rsid w:val="000E3D01"/>
    <w:rsid w:val="000E4148"/>
    <w:rsid w:val="000E72C0"/>
    <w:rsid w:val="000F2B32"/>
    <w:rsid w:val="000F558A"/>
    <w:rsid w:val="000F7419"/>
    <w:rsid w:val="0010083B"/>
    <w:rsid w:val="00100DD9"/>
    <w:rsid w:val="00103802"/>
    <w:rsid w:val="001049A0"/>
    <w:rsid w:val="00104C54"/>
    <w:rsid w:val="00104CA2"/>
    <w:rsid w:val="001131F0"/>
    <w:rsid w:val="00115499"/>
    <w:rsid w:val="00115C03"/>
    <w:rsid w:val="001229E3"/>
    <w:rsid w:val="0012714C"/>
    <w:rsid w:val="00131217"/>
    <w:rsid w:val="00132846"/>
    <w:rsid w:val="00134FA0"/>
    <w:rsid w:val="001359B6"/>
    <w:rsid w:val="00142BC7"/>
    <w:rsid w:val="00143721"/>
    <w:rsid w:val="00157321"/>
    <w:rsid w:val="00157B71"/>
    <w:rsid w:val="00157CDE"/>
    <w:rsid w:val="00157EF6"/>
    <w:rsid w:val="0016082B"/>
    <w:rsid w:val="00160B83"/>
    <w:rsid w:val="00160E36"/>
    <w:rsid w:val="001613EA"/>
    <w:rsid w:val="00162C66"/>
    <w:rsid w:val="001655A2"/>
    <w:rsid w:val="001725EF"/>
    <w:rsid w:val="00175A33"/>
    <w:rsid w:val="00176803"/>
    <w:rsid w:val="00176EF3"/>
    <w:rsid w:val="00177533"/>
    <w:rsid w:val="00180F26"/>
    <w:rsid w:val="00183895"/>
    <w:rsid w:val="001838F2"/>
    <w:rsid w:val="00184CB0"/>
    <w:rsid w:val="001857F9"/>
    <w:rsid w:val="00185971"/>
    <w:rsid w:val="00186350"/>
    <w:rsid w:val="00190BDE"/>
    <w:rsid w:val="0019445C"/>
    <w:rsid w:val="0019674A"/>
    <w:rsid w:val="0019776D"/>
    <w:rsid w:val="001A04FD"/>
    <w:rsid w:val="001A081A"/>
    <w:rsid w:val="001A37A9"/>
    <w:rsid w:val="001A4D11"/>
    <w:rsid w:val="001A759A"/>
    <w:rsid w:val="001A7764"/>
    <w:rsid w:val="001A7DBF"/>
    <w:rsid w:val="001A7F77"/>
    <w:rsid w:val="001B14FE"/>
    <w:rsid w:val="001B1E5E"/>
    <w:rsid w:val="001B3C23"/>
    <w:rsid w:val="001B58F6"/>
    <w:rsid w:val="001C0253"/>
    <w:rsid w:val="001C0288"/>
    <w:rsid w:val="001C0625"/>
    <w:rsid w:val="001C1299"/>
    <w:rsid w:val="001C16B2"/>
    <w:rsid w:val="001C1BDE"/>
    <w:rsid w:val="001C2240"/>
    <w:rsid w:val="001C2889"/>
    <w:rsid w:val="001D1117"/>
    <w:rsid w:val="001D3684"/>
    <w:rsid w:val="001D38D8"/>
    <w:rsid w:val="001D39AC"/>
    <w:rsid w:val="001E04EF"/>
    <w:rsid w:val="001E3BEA"/>
    <w:rsid w:val="001E3E00"/>
    <w:rsid w:val="001E6951"/>
    <w:rsid w:val="001F086E"/>
    <w:rsid w:val="001F0CF2"/>
    <w:rsid w:val="001F4883"/>
    <w:rsid w:val="001F78AA"/>
    <w:rsid w:val="00201E7D"/>
    <w:rsid w:val="00202559"/>
    <w:rsid w:val="00202828"/>
    <w:rsid w:val="0020283C"/>
    <w:rsid w:val="00202FDB"/>
    <w:rsid w:val="00203CF9"/>
    <w:rsid w:val="00205A44"/>
    <w:rsid w:val="00207033"/>
    <w:rsid w:val="00207C8D"/>
    <w:rsid w:val="002101EB"/>
    <w:rsid w:val="0021177B"/>
    <w:rsid w:val="00216192"/>
    <w:rsid w:val="00217196"/>
    <w:rsid w:val="00227116"/>
    <w:rsid w:val="00231A07"/>
    <w:rsid w:val="0023318C"/>
    <w:rsid w:val="0023772B"/>
    <w:rsid w:val="002378C3"/>
    <w:rsid w:val="00240210"/>
    <w:rsid w:val="00240CBD"/>
    <w:rsid w:val="002435A1"/>
    <w:rsid w:val="00245180"/>
    <w:rsid w:val="00246066"/>
    <w:rsid w:val="0025131C"/>
    <w:rsid w:val="00254FB6"/>
    <w:rsid w:val="00260190"/>
    <w:rsid w:val="002646B6"/>
    <w:rsid w:val="002648D3"/>
    <w:rsid w:val="00270765"/>
    <w:rsid w:val="00270D07"/>
    <w:rsid w:val="002711E1"/>
    <w:rsid w:val="00272F07"/>
    <w:rsid w:val="00273472"/>
    <w:rsid w:val="0027369C"/>
    <w:rsid w:val="00275FBD"/>
    <w:rsid w:val="00276886"/>
    <w:rsid w:val="00276B1E"/>
    <w:rsid w:val="00277734"/>
    <w:rsid w:val="002824EA"/>
    <w:rsid w:val="00283331"/>
    <w:rsid w:val="002843B1"/>
    <w:rsid w:val="002867E9"/>
    <w:rsid w:val="0028693A"/>
    <w:rsid w:val="00293D3D"/>
    <w:rsid w:val="00294951"/>
    <w:rsid w:val="002959AA"/>
    <w:rsid w:val="00296A09"/>
    <w:rsid w:val="002A0290"/>
    <w:rsid w:val="002A153F"/>
    <w:rsid w:val="002A186C"/>
    <w:rsid w:val="002A1AF3"/>
    <w:rsid w:val="002A1C9F"/>
    <w:rsid w:val="002A2D24"/>
    <w:rsid w:val="002A3590"/>
    <w:rsid w:val="002A3DF1"/>
    <w:rsid w:val="002A67DE"/>
    <w:rsid w:val="002B01D2"/>
    <w:rsid w:val="002B30E3"/>
    <w:rsid w:val="002B428D"/>
    <w:rsid w:val="002B4997"/>
    <w:rsid w:val="002B4B67"/>
    <w:rsid w:val="002B5FB8"/>
    <w:rsid w:val="002C1421"/>
    <w:rsid w:val="002C168A"/>
    <w:rsid w:val="002C50D9"/>
    <w:rsid w:val="002C7892"/>
    <w:rsid w:val="002C7905"/>
    <w:rsid w:val="002D2E94"/>
    <w:rsid w:val="002D3F97"/>
    <w:rsid w:val="002D7C8E"/>
    <w:rsid w:val="002E0BBE"/>
    <w:rsid w:val="002E7DB5"/>
    <w:rsid w:val="002F18ED"/>
    <w:rsid w:val="002F5601"/>
    <w:rsid w:val="002F6F3B"/>
    <w:rsid w:val="0030027A"/>
    <w:rsid w:val="00302264"/>
    <w:rsid w:val="00305178"/>
    <w:rsid w:val="0030584D"/>
    <w:rsid w:val="00305FFC"/>
    <w:rsid w:val="00306003"/>
    <w:rsid w:val="00310BDF"/>
    <w:rsid w:val="00313191"/>
    <w:rsid w:val="003138C9"/>
    <w:rsid w:val="0031518D"/>
    <w:rsid w:val="00320888"/>
    <w:rsid w:val="0032508D"/>
    <w:rsid w:val="00325A6F"/>
    <w:rsid w:val="00327ABF"/>
    <w:rsid w:val="0033210B"/>
    <w:rsid w:val="003332DB"/>
    <w:rsid w:val="00333C38"/>
    <w:rsid w:val="00333E5C"/>
    <w:rsid w:val="0033417E"/>
    <w:rsid w:val="00336459"/>
    <w:rsid w:val="00340C76"/>
    <w:rsid w:val="0034436B"/>
    <w:rsid w:val="003443ED"/>
    <w:rsid w:val="003454F8"/>
    <w:rsid w:val="0034583E"/>
    <w:rsid w:val="0034618A"/>
    <w:rsid w:val="0034678E"/>
    <w:rsid w:val="00347602"/>
    <w:rsid w:val="00351F20"/>
    <w:rsid w:val="00355259"/>
    <w:rsid w:val="00357937"/>
    <w:rsid w:val="00360B7D"/>
    <w:rsid w:val="00361374"/>
    <w:rsid w:val="003636A6"/>
    <w:rsid w:val="00364543"/>
    <w:rsid w:val="00366551"/>
    <w:rsid w:val="0036732C"/>
    <w:rsid w:val="00370A65"/>
    <w:rsid w:val="003714EE"/>
    <w:rsid w:val="0037238A"/>
    <w:rsid w:val="00375D2B"/>
    <w:rsid w:val="00377625"/>
    <w:rsid w:val="00377F11"/>
    <w:rsid w:val="00383A74"/>
    <w:rsid w:val="0038434A"/>
    <w:rsid w:val="00385AAE"/>
    <w:rsid w:val="00386632"/>
    <w:rsid w:val="003874C8"/>
    <w:rsid w:val="003877F1"/>
    <w:rsid w:val="003904F0"/>
    <w:rsid w:val="00391039"/>
    <w:rsid w:val="00392F77"/>
    <w:rsid w:val="00397328"/>
    <w:rsid w:val="003A23ED"/>
    <w:rsid w:val="003A245D"/>
    <w:rsid w:val="003A444A"/>
    <w:rsid w:val="003A4A4F"/>
    <w:rsid w:val="003A7F58"/>
    <w:rsid w:val="003A7FD3"/>
    <w:rsid w:val="003B0CA4"/>
    <w:rsid w:val="003B3773"/>
    <w:rsid w:val="003B6E4D"/>
    <w:rsid w:val="003B7210"/>
    <w:rsid w:val="003C2264"/>
    <w:rsid w:val="003C24FF"/>
    <w:rsid w:val="003C3284"/>
    <w:rsid w:val="003C3AA5"/>
    <w:rsid w:val="003C3BF3"/>
    <w:rsid w:val="003D09CD"/>
    <w:rsid w:val="003E0BB5"/>
    <w:rsid w:val="003E11F9"/>
    <w:rsid w:val="003E46F9"/>
    <w:rsid w:val="003E67BF"/>
    <w:rsid w:val="003E6FF4"/>
    <w:rsid w:val="003E7FBC"/>
    <w:rsid w:val="003F2089"/>
    <w:rsid w:val="0040332A"/>
    <w:rsid w:val="00404631"/>
    <w:rsid w:val="00406409"/>
    <w:rsid w:val="00406D19"/>
    <w:rsid w:val="00411022"/>
    <w:rsid w:val="00411396"/>
    <w:rsid w:val="00414884"/>
    <w:rsid w:val="00417ED3"/>
    <w:rsid w:val="004217C3"/>
    <w:rsid w:val="00422D68"/>
    <w:rsid w:val="004241AD"/>
    <w:rsid w:val="00424693"/>
    <w:rsid w:val="00424A7B"/>
    <w:rsid w:val="00425107"/>
    <w:rsid w:val="00425AC7"/>
    <w:rsid w:val="004341F8"/>
    <w:rsid w:val="00436088"/>
    <w:rsid w:val="0043621F"/>
    <w:rsid w:val="004428C4"/>
    <w:rsid w:val="00443003"/>
    <w:rsid w:val="0044344E"/>
    <w:rsid w:val="00443722"/>
    <w:rsid w:val="00443B6C"/>
    <w:rsid w:val="00445A58"/>
    <w:rsid w:val="00446253"/>
    <w:rsid w:val="00451F0B"/>
    <w:rsid w:val="00453B09"/>
    <w:rsid w:val="00453C47"/>
    <w:rsid w:val="0046071D"/>
    <w:rsid w:val="00460D5C"/>
    <w:rsid w:val="004624BC"/>
    <w:rsid w:val="00463783"/>
    <w:rsid w:val="00463F9F"/>
    <w:rsid w:val="00464C3A"/>
    <w:rsid w:val="00465102"/>
    <w:rsid w:val="00466134"/>
    <w:rsid w:val="00467EA0"/>
    <w:rsid w:val="00475AE6"/>
    <w:rsid w:val="00476B48"/>
    <w:rsid w:val="004774FB"/>
    <w:rsid w:val="004810CF"/>
    <w:rsid w:val="00483018"/>
    <w:rsid w:val="00491342"/>
    <w:rsid w:val="00491524"/>
    <w:rsid w:val="00491CF0"/>
    <w:rsid w:val="00493908"/>
    <w:rsid w:val="004940DC"/>
    <w:rsid w:val="00497CD2"/>
    <w:rsid w:val="004A2D9C"/>
    <w:rsid w:val="004A549E"/>
    <w:rsid w:val="004A59BA"/>
    <w:rsid w:val="004B13BD"/>
    <w:rsid w:val="004B3DB9"/>
    <w:rsid w:val="004B41F5"/>
    <w:rsid w:val="004B7295"/>
    <w:rsid w:val="004B79B4"/>
    <w:rsid w:val="004B7FD9"/>
    <w:rsid w:val="004C0B48"/>
    <w:rsid w:val="004C0B70"/>
    <w:rsid w:val="004C1A79"/>
    <w:rsid w:val="004C30E9"/>
    <w:rsid w:val="004C3581"/>
    <w:rsid w:val="004C56C4"/>
    <w:rsid w:val="004C6096"/>
    <w:rsid w:val="004D42C7"/>
    <w:rsid w:val="004D4D38"/>
    <w:rsid w:val="004D63E0"/>
    <w:rsid w:val="004D783B"/>
    <w:rsid w:val="004D7D32"/>
    <w:rsid w:val="004E287A"/>
    <w:rsid w:val="004E2ACB"/>
    <w:rsid w:val="004E38B8"/>
    <w:rsid w:val="004E5BB3"/>
    <w:rsid w:val="004F2A5B"/>
    <w:rsid w:val="004F52A9"/>
    <w:rsid w:val="00500AE9"/>
    <w:rsid w:val="005010F0"/>
    <w:rsid w:val="00502C28"/>
    <w:rsid w:val="00503485"/>
    <w:rsid w:val="00504740"/>
    <w:rsid w:val="0050556B"/>
    <w:rsid w:val="00506F91"/>
    <w:rsid w:val="0051357D"/>
    <w:rsid w:val="00513A49"/>
    <w:rsid w:val="005140F1"/>
    <w:rsid w:val="00514DB5"/>
    <w:rsid w:val="00515766"/>
    <w:rsid w:val="0052196C"/>
    <w:rsid w:val="00524040"/>
    <w:rsid w:val="00530DAA"/>
    <w:rsid w:val="00532E2D"/>
    <w:rsid w:val="00533BA6"/>
    <w:rsid w:val="005357E0"/>
    <w:rsid w:val="00536073"/>
    <w:rsid w:val="00540356"/>
    <w:rsid w:val="0054190C"/>
    <w:rsid w:val="00542108"/>
    <w:rsid w:val="00542754"/>
    <w:rsid w:val="00544DF8"/>
    <w:rsid w:val="0055061A"/>
    <w:rsid w:val="00552448"/>
    <w:rsid w:val="005533FB"/>
    <w:rsid w:val="00553F6C"/>
    <w:rsid w:val="005568CB"/>
    <w:rsid w:val="00563EBB"/>
    <w:rsid w:val="0056475E"/>
    <w:rsid w:val="00564CE7"/>
    <w:rsid w:val="00564E47"/>
    <w:rsid w:val="00566634"/>
    <w:rsid w:val="00566CFA"/>
    <w:rsid w:val="0057151B"/>
    <w:rsid w:val="00571901"/>
    <w:rsid w:val="00572D5B"/>
    <w:rsid w:val="00575305"/>
    <w:rsid w:val="00580381"/>
    <w:rsid w:val="0058083B"/>
    <w:rsid w:val="00580F25"/>
    <w:rsid w:val="00581857"/>
    <w:rsid w:val="00582D17"/>
    <w:rsid w:val="0058486E"/>
    <w:rsid w:val="00584A58"/>
    <w:rsid w:val="005851E9"/>
    <w:rsid w:val="005863E4"/>
    <w:rsid w:val="00586626"/>
    <w:rsid w:val="00586BA9"/>
    <w:rsid w:val="00591679"/>
    <w:rsid w:val="00591D7B"/>
    <w:rsid w:val="005924E8"/>
    <w:rsid w:val="00593A10"/>
    <w:rsid w:val="005960A4"/>
    <w:rsid w:val="005A1BC4"/>
    <w:rsid w:val="005A27A9"/>
    <w:rsid w:val="005A2AE0"/>
    <w:rsid w:val="005A6B26"/>
    <w:rsid w:val="005B1E27"/>
    <w:rsid w:val="005B1F16"/>
    <w:rsid w:val="005B4195"/>
    <w:rsid w:val="005B5CFE"/>
    <w:rsid w:val="005C059A"/>
    <w:rsid w:val="005C0C4E"/>
    <w:rsid w:val="005C0CDA"/>
    <w:rsid w:val="005C11E9"/>
    <w:rsid w:val="005C2B0D"/>
    <w:rsid w:val="005C44DA"/>
    <w:rsid w:val="005C487D"/>
    <w:rsid w:val="005C6211"/>
    <w:rsid w:val="005D01FE"/>
    <w:rsid w:val="005D3FB6"/>
    <w:rsid w:val="005D4742"/>
    <w:rsid w:val="005E0577"/>
    <w:rsid w:val="005E078D"/>
    <w:rsid w:val="005E2B89"/>
    <w:rsid w:val="005E7BAB"/>
    <w:rsid w:val="005F0890"/>
    <w:rsid w:val="005F158F"/>
    <w:rsid w:val="005F1A9A"/>
    <w:rsid w:val="005F2746"/>
    <w:rsid w:val="005F43AD"/>
    <w:rsid w:val="00603619"/>
    <w:rsid w:val="00604D0C"/>
    <w:rsid w:val="00605410"/>
    <w:rsid w:val="00606096"/>
    <w:rsid w:val="00606E2F"/>
    <w:rsid w:val="006139F4"/>
    <w:rsid w:val="00614A99"/>
    <w:rsid w:val="00616220"/>
    <w:rsid w:val="0061757F"/>
    <w:rsid w:val="00617823"/>
    <w:rsid w:val="00620F75"/>
    <w:rsid w:val="00623FFD"/>
    <w:rsid w:val="00625C3F"/>
    <w:rsid w:val="00626652"/>
    <w:rsid w:val="00627512"/>
    <w:rsid w:val="00627DC6"/>
    <w:rsid w:val="006314CF"/>
    <w:rsid w:val="006341D1"/>
    <w:rsid w:val="006371B3"/>
    <w:rsid w:val="0064172A"/>
    <w:rsid w:val="006418EF"/>
    <w:rsid w:val="006518C3"/>
    <w:rsid w:val="0065306B"/>
    <w:rsid w:val="006535B0"/>
    <w:rsid w:val="006542A4"/>
    <w:rsid w:val="00656C46"/>
    <w:rsid w:val="006606FC"/>
    <w:rsid w:val="00671AFD"/>
    <w:rsid w:val="00674E68"/>
    <w:rsid w:val="00675569"/>
    <w:rsid w:val="006760BE"/>
    <w:rsid w:val="006768BD"/>
    <w:rsid w:val="0067756C"/>
    <w:rsid w:val="00677599"/>
    <w:rsid w:val="00677754"/>
    <w:rsid w:val="00681BC1"/>
    <w:rsid w:val="00683113"/>
    <w:rsid w:val="0068377E"/>
    <w:rsid w:val="00686823"/>
    <w:rsid w:val="006879AE"/>
    <w:rsid w:val="006901E8"/>
    <w:rsid w:val="0069182B"/>
    <w:rsid w:val="006932B9"/>
    <w:rsid w:val="0069557D"/>
    <w:rsid w:val="00696497"/>
    <w:rsid w:val="006A118C"/>
    <w:rsid w:val="006A2DD2"/>
    <w:rsid w:val="006A451E"/>
    <w:rsid w:val="006A6239"/>
    <w:rsid w:val="006A6839"/>
    <w:rsid w:val="006A6878"/>
    <w:rsid w:val="006B1C2E"/>
    <w:rsid w:val="006B4022"/>
    <w:rsid w:val="006B5160"/>
    <w:rsid w:val="006B5E1E"/>
    <w:rsid w:val="006B619C"/>
    <w:rsid w:val="006B683F"/>
    <w:rsid w:val="006C77F4"/>
    <w:rsid w:val="006D07A5"/>
    <w:rsid w:val="006D2AC6"/>
    <w:rsid w:val="006D3D1E"/>
    <w:rsid w:val="006D45B4"/>
    <w:rsid w:val="006D472F"/>
    <w:rsid w:val="006D6F82"/>
    <w:rsid w:val="006E14A5"/>
    <w:rsid w:val="006E4337"/>
    <w:rsid w:val="006E66FD"/>
    <w:rsid w:val="006E70D9"/>
    <w:rsid w:val="006E741E"/>
    <w:rsid w:val="006F09F3"/>
    <w:rsid w:val="006F37D0"/>
    <w:rsid w:val="006F59F9"/>
    <w:rsid w:val="00701A76"/>
    <w:rsid w:val="007022B2"/>
    <w:rsid w:val="00702A5D"/>
    <w:rsid w:val="00702AE9"/>
    <w:rsid w:val="00707BF4"/>
    <w:rsid w:val="007147EC"/>
    <w:rsid w:val="00714EDE"/>
    <w:rsid w:val="0071591E"/>
    <w:rsid w:val="00716706"/>
    <w:rsid w:val="00727149"/>
    <w:rsid w:val="0073051C"/>
    <w:rsid w:val="00730ACE"/>
    <w:rsid w:val="00733FD4"/>
    <w:rsid w:val="007354F4"/>
    <w:rsid w:val="007357F6"/>
    <w:rsid w:val="0073681A"/>
    <w:rsid w:val="007408E6"/>
    <w:rsid w:val="00741638"/>
    <w:rsid w:val="0074387F"/>
    <w:rsid w:val="007439D4"/>
    <w:rsid w:val="00750403"/>
    <w:rsid w:val="00751A70"/>
    <w:rsid w:val="00755512"/>
    <w:rsid w:val="00755A38"/>
    <w:rsid w:val="007563EC"/>
    <w:rsid w:val="007566FF"/>
    <w:rsid w:val="00764C47"/>
    <w:rsid w:val="00766A4F"/>
    <w:rsid w:val="007679C0"/>
    <w:rsid w:val="0077120E"/>
    <w:rsid w:val="00771760"/>
    <w:rsid w:val="0077242D"/>
    <w:rsid w:val="0077359F"/>
    <w:rsid w:val="007735ED"/>
    <w:rsid w:val="007736AF"/>
    <w:rsid w:val="00773CC5"/>
    <w:rsid w:val="00776434"/>
    <w:rsid w:val="00776A9E"/>
    <w:rsid w:val="00776E58"/>
    <w:rsid w:val="0078253E"/>
    <w:rsid w:val="007860BB"/>
    <w:rsid w:val="007874D4"/>
    <w:rsid w:val="00790999"/>
    <w:rsid w:val="00794D78"/>
    <w:rsid w:val="007963F3"/>
    <w:rsid w:val="007971A6"/>
    <w:rsid w:val="00797E12"/>
    <w:rsid w:val="007A0D33"/>
    <w:rsid w:val="007A3096"/>
    <w:rsid w:val="007A4A38"/>
    <w:rsid w:val="007B0D19"/>
    <w:rsid w:val="007B2180"/>
    <w:rsid w:val="007B287A"/>
    <w:rsid w:val="007C0704"/>
    <w:rsid w:val="007C4A55"/>
    <w:rsid w:val="007C6145"/>
    <w:rsid w:val="007C6E27"/>
    <w:rsid w:val="007C6FC4"/>
    <w:rsid w:val="007C7317"/>
    <w:rsid w:val="007C7957"/>
    <w:rsid w:val="007D077C"/>
    <w:rsid w:val="007D4426"/>
    <w:rsid w:val="007D4520"/>
    <w:rsid w:val="007D4E6F"/>
    <w:rsid w:val="007D58E3"/>
    <w:rsid w:val="007D5CD4"/>
    <w:rsid w:val="007E3787"/>
    <w:rsid w:val="007E4D76"/>
    <w:rsid w:val="007F0BD1"/>
    <w:rsid w:val="007F3270"/>
    <w:rsid w:val="007F3DE4"/>
    <w:rsid w:val="007F5B37"/>
    <w:rsid w:val="007F68D7"/>
    <w:rsid w:val="00800120"/>
    <w:rsid w:val="0080187E"/>
    <w:rsid w:val="0080547A"/>
    <w:rsid w:val="0080753D"/>
    <w:rsid w:val="008116CE"/>
    <w:rsid w:val="008143F4"/>
    <w:rsid w:val="00815762"/>
    <w:rsid w:val="008163DD"/>
    <w:rsid w:val="00816456"/>
    <w:rsid w:val="00816529"/>
    <w:rsid w:val="00817648"/>
    <w:rsid w:val="00817F3B"/>
    <w:rsid w:val="008217A1"/>
    <w:rsid w:val="00821B34"/>
    <w:rsid w:val="008228B2"/>
    <w:rsid w:val="00823718"/>
    <w:rsid w:val="00824A41"/>
    <w:rsid w:val="00824C25"/>
    <w:rsid w:val="00832116"/>
    <w:rsid w:val="00833F70"/>
    <w:rsid w:val="0083485B"/>
    <w:rsid w:val="00834919"/>
    <w:rsid w:val="0083534E"/>
    <w:rsid w:val="0083555A"/>
    <w:rsid w:val="00837AC2"/>
    <w:rsid w:val="00840DAE"/>
    <w:rsid w:val="00841F09"/>
    <w:rsid w:val="00843C47"/>
    <w:rsid w:val="00845FB3"/>
    <w:rsid w:val="00851E58"/>
    <w:rsid w:val="00853EC0"/>
    <w:rsid w:val="008545E4"/>
    <w:rsid w:val="00854654"/>
    <w:rsid w:val="00855C86"/>
    <w:rsid w:val="0085688E"/>
    <w:rsid w:val="008633CB"/>
    <w:rsid w:val="00863881"/>
    <w:rsid w:val="00864DCC"/>
    <w:rsid w:val="00867432"/>
    <w:rsid w:val="00873049"/>
    <w:rsid w:val="008736BB"/>
    <w:rsid w:val="00873AFF"/>
    <w:rsid w:val="00886175"/>
    <w:rsid w:val="00892594"/>
    <w:rsid w:val="00895949"/>
    <w:rsid w:val="00895B26"/>
    <w:rsid w:val="008964CA"/>
    <w:rsid w:val="008A20E0"/>
    <w:rsid w:val="008A443F"/>
    <w:rsid w:val="008A4EBF"/>
    <w:rsid w:val="008A5BAD"/>
    <w:rsid w:val="008A62C7"/>
    <w:rsid w:val="008B0419"/>
    <w:rsid w:val="008B09DB"/>
    <w:rsid w:val="008B3844"/>
    <w:rsid w:val="008B3C40"/>
    <w:rsid w:val="008B5114"/>
    <w:rsid w:val="008B5AA3"/>
    <w:rsid w:val="008B61C2"/>
    <w:rsid w:val="008C1EF9"/>
    <w:rsid w:val="008C4E46"/>
    <w:rsid w:val="008C6367"/>
    <w:rsid w:val="008C6D71"/>
    <w:rsid w:val="008D28E5"/>
    <w:rsid w:val="008D4E43"/>
    <w:rsid w:val="008E195C"/>
    <w:rsid w:val="008E25AA"/>
    <w:rsid w:val="008E43E1"/>
    <w:rsid w:val="008E7AC5"/>
    <w:rsid w:val="008F55B9"/>
    <w:rsid w:val="00900E3D"/>
    <w:rsid w:val="00901121"/>
    <w:rsid w:val="0090628A"/>
    <w:rsid w:val="00906441"/>
    <w:rsid w:val="00911BED"/>
    <w:rsid w:val="00912E5C"/>
    <w:rsid w:val="00916193"/>
    <w:rsid w:val="009165DB"/>
    <w:rsid w:val="00924F9F"/>
    <w:rsid w:val="00935044"/>
    <w:rsid w:val="00936B66"/>
    <w:rsid w:val="009373EB"/>
    <w:rsid w:val="009418D5"/>
    <w:rsid w:val="00944EEA"/>
    <w:rsid w:val="009462F8"/>
    <w:rsid w:val="009473E9"/>
    <w:rsid w:val="00952A1E"/>
    <w:rsid w:val="00953005"/>
    <w:rsid w:val="0095517A"/>
    <w:rsid w:val="0095627E"/>
    <w:rsid w:val="00957998"/>
    <w:rsid w:val="00962189"/>
    <w:rsid w:val="00963FA3"/>
    <w:rsid w:val="009650DB"/>
    <w:rsid w:val="009669A8"/>
    <w:rsid w:val="00971D89"/>
    <w:rsid w:val="00971E00"/>
    <w:rsid w:val="009723F6"/>
    <w:rsid w:val="00976D1A"/>
    <w:rsid w:val="00980F80"/>
    <w:rsid w:val="009819E1"/>
    <w:rsid w:val="0098391B"/>
    <w:rsid w:val="00984112"/>
    <w:rsid w:val="009873EF"/>
    <w:rsid w:val="00990B43"/>
    <w:rsid w:val="00990C2E"/>
    <w:rsid w:val="009917B1"/>
    <w:rsid w:val="009941C3"/>
    <w:rsid w:val="00994401"/>
    <w:rsid w:val="009A1AE4"/>
    <w:rsid w:val="009A3155"/>
    <w:rsid w:val="009A3B52"/>
    <w:rsid w:val="009A5B80"/>
    <w:rsid w:val="009B06D8"/>
    <w:rsid w:val="009B3853"/>
    <w:rsid w:val="009C19AD"/>
    <w:rsid w:val="009C3187"/>
    <w:rsid w:val="009C6214"/>
    <w:rsid w:val="009C7987"/>
    <w:rsid w:val="009D039D"/>
    <w:rsid w:val="009D40C6"/>
    <w:rsid w:val="009D49BF"/>
    <w:rsid w:val="009E5C57"/>
    <w:rsid w:val="009E6969"/>
    <w:rsid w:val="009F358F"/>
    <w:rsid w:val="009F46C4"/>
    <w:rsid w:val="009F5711"/>
    <w:rsid w:val="009F7340"/>
    <w:rsid w:val="009F793E"/>
    <w:rsid w:val="009F7BA2"/>
    <w:rsid w:val="00A03640"/>
    <w:rsid w:val="00A03A95"/>
    <w:rsid w:val="00A03FEE"/>
    <w:rsid w:val="00A044CC"/>
    <w:rsid w:val="00A05461"/>
    <w:rsid w:val="00A0696D"/>
    <w:rsid w:val="00A10C9B"/>
    <w:rsid w:val="00A129DF"/>
    <w:rsid w:val="00A16967"/>
    <w:rsid w:val="00A16B0D"/>
    <w:rsid w:val="00A20EFB"/>
    <w:rsid w:val="00A2247E"/>
    <w:rsid w:val="00A24604"/>
    <w:rsid w:val="00A249CC"/>
    <w:rsid w:val="00A25FBE"/>
    <w:rsid w:val="00A27F5E"/>
    <w:rsid w:val="00A32C78"/>
    <w:rsid w:val="00A33313"/>
    <w:rsid w:val="00A35D8D"/>
    <w:rsid w:val="00A36154"/>
    <w:rsid w:val="00A36AEE"/>
    <w:rsid w:val="00A37F70"/>
    <w:rsid w:val="00A42562"/>
    <w:rsid w:val="00A43B8F"/>
    <w:rsid w:val="00A4516F"/>
    <w:rsid w:val="00A4520F"/>
    <w:rsid w:val="00A459B6"/>
    <w:rsid w:val="00A45CF6"/>
    <w:rsid w:val="00A46DB7"/>
    <w:rsid w:val="00A50037"/>
    <w:rsid w:val="00A50CDD"/>
    <w:rsid w:val="00A551A2"/>
    <w:rsid w:val="00A56BA1"/>
    <w:rsid w:val="00A5759A"/>
    <w:rsid w:val="00A579CF"/>
    <w:rsid w:val="00A622AF"/>
    <w:rsid w:val="00A64FF2"/>
    <w:rsid w:val="00A66246"/>
    <w:rsid w:val="00A677F1"/>
    <w:rsid w:val="00A730BF"/>
    <w:rsid w:val="00A73ADF"/>
    <w:rsid w:val="00A74FE3"/>
    <w:rsid w:val="00A75AE6"/>
    <w:rsid w:val="00A77BD7"/>
    <w:rsid w:val="00A77F5B"/>
    <w:rsid w:val="00A80EF5"/>
    <w:rsid w:val="00A84A73"/>
    <w:rsid w:val="00A86382"/>
    <w:rsid w:val="00A904A0"/>
    <w:rsid w:val="00A90530"/>
    <w:rsid w:val="00A9185F"/>
    <w:rsid w:val="00A91903"/>
    <w:rsid w:val="00A92784"/>
    <w:rsid w:val="00A92884"/>
    <w:rsid w:val="00A92E9E"/>
    <w:rsid w:val="00A9318F"/>
    <w:rsid w:val="00A9634B"/>
    <w:rsid w:val="00A97263"/>
    <w:rsid w:val="00A97804"/>
    <w:rsid w:val="00AA47C4"/>
    <w:rsid w:val="00AA7A7F"/>
    <w:rsid w:val="00AB2233"/>
    <w:rsid w:val="00AB4182"/>
    <w:rsid w:val="00AB725F"/>
    <w:rsid w:val="00AC0E11"/>
    <w:rsid w:val="00AC176B"/>
    <w:rsid w:val="00AC319B"/>
    <w:rsid w:val="00AC3F1B"/>
    <w:rsid w:val="00AC4339"/>
    <w:rsid w:val="00AC58D4"/>
    <w:rsid w:val="00AC6949"/>
    <w:rsid w:val="00AC7414"/>
    <w:rsid w:val="00AC7C78"/>
    <w:rsid w:val="00AD0439"/>
    <w:rsid w:val="00AD0AA4"/>
    <w:rsid w:val="00AD1FF7"/>
    <w:rsid w:val="00AD4052"/>
    <w:rsid w:val="00AD53A0"/>
    <w:rsid w:val="00AD5E60"/>
    <w:rsid w:val="00AE1D32"/>
    <w:rsid w:val="00AE222C"/>
    <w:rsid w:val="00AE4B78"/>
    <w:rsid w:val="00AE5758"/>
    <w:rsid w:val="00AF030E"/>
    <w:rsid w:val="00AF0B93"/>
    <w:rsid w:val="00AF4B85"/>
    <w:rsid w:val="00AF5F5E"/>
    <w:rsid w:val="00B003D6"/>
    <w:rsid w:val="00B009C5"/>
    <w:rsid w:val="00B062B8"/>
    <w:rsid w:val="00B06DAC"/>
    <w:rsid w:val="00B112AF"/>
    <w:rsid w:val="00B1198C"/>
    <w:rsid w:val="00B134E6"/>
    <w:rsid w:val="00B145EC"/>
    <w:rsid w:val="00B168B9"/>
    <w:rsid w:val="00B16AD5"/>
    <w:rsid w:val="00B16D17"/>
    <w:rsid w:val="00B17CE1"/>
    <w:rsid w:val="00B17DE4"/>
    <w:rsid w:val="00B2022F"/>
    <w:rsid w:val="00B20812"/>
    <w:rsid w:val="00B220DD"/>
    <w:rsid w:val="00B30105"/>
    <w:rsid w:val="00B376B5"/>
    <w:rsid w:val="00B37B90"/>
    <w:rsid w:val="00B37E42"/>
    <w:rsid w:val="00B4079D"/>
    <w:rsid w:val="00B433D8"/>
    <w:rsid w:val="00B43885"/>
    <w:rsid w:val="00B4621B"/>
    <w:rsid w:val="00B4717A"/>
    <w:rsid w:val="00B521DE"/>
    <w:rsid w:val="00B52A06"/>
    <w:rsid w:val="00B54C1B"/>
    <w:rsid w:val="00B559D2"/>
    <w:rsid w:val="00B56C59"/>
    <w:rsid w:val="00B56D6A"/>
    <w:rsid w:val="00B6006A"/>
    <w:rsid w:val="00B60D05"/>
    <w:rsid w:val="00B615DB"/>
    <w:rsid w:val="00B6213D"/>
    <w:rsid w:val="00B70380"/>
    <w:rsid w:val="00B715B1"/>
    <w:rsid w:val="00B745D8"/>
    <w:rsid w:val="00B75958"/>
    <w:rsid w:val="00B85583"/>
    <w:rsid w:val="00B86E6A"/>
    <w:rsid w:val="00B912F5"/>
    <w:rsid w:val="00B9338B"/>
    <w:rsid w:val="00B936D5"/>
    <w:rsid w:val="00B94863"/>
    <w:rsid w:val="00B94FCA"/>
    <w:rsid w:val="00BA03F4"/>
    <w:rsid w:val="00BA0651"/>
    <w:rsid w:val="00BA201E"/>
    <w:rsid w:val="00BA317A"/>
    <w:rsid w:val="00BA3D91"/>
    <w:rsid w:val="00BA40F0"/>
    <w:rsid w:val="00BA5D2D"/>
    <w:rsid w:val="00BA5EEA"/>
    <w:rsid w:val="00BA785E"/>
    <w:rsid w:val="00BA7D23"/>
    <w:rsid w:val="00BB0207"/>
    <w:rsid w:val="00BB243E"/>
    <w:rsid w:val="00BB6505"/>
    <w:rsid w:val="00BB6E79"/>
    <w:rsid w:val="00BB705E"/>
    <w:rsid w:val="00BC157A"/>
    <w:rsid w:val="00BC1942"/>
    <w:rsid w:val="00BD0418"/>
    <w:rsid w:val="00BD1150"/>
    <w:rsid w:val="00BD3FA3"/>
    <w:rsid w:val="00BD61FB"/>
    <w:rsid w:val="00BE0C25"/>
    <w:rsid w:val="00BE1927"/>
    <w:rsid w:val="00BE1DCA"/>
    <w:rsid w:val="00BE303F"/>
    <w:rsid w:val="00BE3603"/>
    <w:rsid w:val="00BE3DFD"/>
    <w:rsid w:val="00BE6937"/>
    <w:rsid w:val="00BF03B8"/>
    <w:rsid w:val="00BF3C47"/>
    <w:rsid w:val="00BF4CA4"/>
    <w:rsid w:val="00BF4F7E"/>
    <w:rsid w:val="00BF6659"/>
    <w:rsid w:val="00C004D3"/>
    <w:rsid w:val="00C01F07"/>
    <w:rsid w:val="00C03BA8"/>
    <w:rsid w:val="00C10DFC"/>
    <w:rsid w:val="00C1440C"/>
    <w:rsid w:val="00C217C1"/>
    <w:rsid w:val="00C22749"/>
    <w:rsid w:val="00C2367E"/>
    <w:rsid w:val="00C24A72"/>
    <w:rsid w:val="00C25ACA"/>
    <w:rsid w:val="00C262F4"/>
    <w:rsid w:val="00C31092"/>
    <w:rsid w:val="00C31FB5"/>
    <w:rsid w:val="00C3206A"/>
    <w:rsid w:val="00C32E24"/>
    <w:rsid w:val="00C33541"/>
    <w:rsid w:val="00C33B34"/>
    <w:rsid w:val="00C4067B"/>
    <w:rsid w:val="00C445D6"/>
    <w:rsid w:val="00C45DC4"/>
    <w:rsid w:val="00C5012B"/>
    <w:rsid w:val="00C51A0C"/>
    <w:rsid w:val="00C6454B"/>
    <w:rsid w:val="00C65155"/>
    <w:rsid w:val="00C67EF4"/>
    <w:rsid w:val="00C67FAE"/>
    <w:rsid w:val="00C711D6"/>
    <w:rsid w:val="00C715F5"/>
    <w:rsid w:val="00C7216F"/>
    <w:rsid w:val="00C75A53"/>
    <w:rsid w:val="00C77810"/>
    <w:rsid w:val="00C81DEF"/>
    <w:rsid w:val="00C835EA"/>
    <w:rsid w:val="00C838F1"/>
    <w:rsid w:val="00C85DC6"/>
    <w:rsid w:val="00C86D6D"/>
    <w:rsid w:val="00C9115C"/>
    <w:rsid w:val="00C92BF9"/>
    <w:rsid w:val="00CA0707"/>
    <w:rsid w:val="00CA2824"/>
    <w:rsid w:val="00CA392A"/>
    <w:rsid w:val="00CA400F"/>
    <w:rsid w:val="00CA4EE5"/>
    <w:rsid w:val="00CA766A"/>
    <w:rsid w:val="00CB1D44"/>
    <w:rsid w:val="00CB1EAE"/>
    <w:rsid w:val="00CB276A"/>
    <w:rsid w:val="00CC1875"/>
    <w:rsid w:val="00CC1A3F"/>
    <w:rsid w:val="00CC2FA5"/>
    <w:rsid w:val="00CC6894"/>
    <w:rsid w:val="00CD0977"/>
    <w:rsid w:val="00CD0C4F"/>
    <w:rsid w:val="00CD38FC"/>
    <w:rsid w:val="00CD3C6A"/>
    <w:rsid w:val="00CD447E"/>
    <w:rsid w:val="00CD5480"/>
    <w:rsid w:val="00CD6C41"/>
    <w:rsid w:val="00CD7F6A"/>
    <w:rsid w:val="00CE0D96"/>
    <w:rsid w:val="00CE0E07"/>
    <w:rsid w:val="00CE1EBC"/>
    <w:rsid w:val="00CE241F"/>
    <w:rsid w:val="00CE2BD2"/>
    <w:rsid w:val="00CE2F94"/>
    <w:rsid w:val="00CE34CB"/>
    <w:rsid w:val="00CE36A2"/>
    <w:rsid w:val="00CE6F7B"/>
    <w:rsid w:val="00CE74B8"/>
    <w:rsid w:val="00CF247B"/>
    <w:rsid w:val="00CF7810"/>
    <w:rsid w:val="00D019E9"/>
    <w:rsid w:val="00D01FBB"/>
    <w:rsid w:val="00D049E2"/>
    <w:rsid w:val="00D05A81"/>
    <w:rsid w:val="00D05C36"/>
    <w:rsid w:val="00D1059D"/>
    <w:rsid w:val="00D10AF5"/>
    <w:rsid w:val="00D111E0"/>
    <w:rsid w:val="00D11214"/>
    <w:rsid w:val="00D12A14"/>
    <w:rsid w:val="00D13B76"/>
    <w:rsid w:val="00D143D1"/>
    <w:rsid w:val="00D14D8A"/>
    <w:rsid w:val="00D14E84"/>
    <w:rsid w:val="00D151BD"/>
    <w:rsid w:val="00D15299"/>
    <w:rsid w:val="00D16BE4"/>
    <w:rsid w:val="00D20528"/>
    <w:rsid w:val="00D240B3"/>
    <w:rsid w:val="00D25276"/>
    <w:rsid w:val="00D25705"/>
    <w:rsid w:val="00D267A8"/>
    <w:rsid w:val="00D313D8"/>
    <w:rsid w:val="00D3267F"/>
    <w:rsid w:val="00D335BE"/>
    <w:rsid w:val="00D33F7C"/>
    <w:rsid w:val="00D35252"/>
    <w:rsid w:val="00D356CE"/>
    <w:rsid w:val="00D3748D"/>
    <w:rsid w:val="00D42593"/>
    <w:rsid w:val="00D427C5"/>
    <w:rsid w:val="00D5221B"/>
    <w:rsid w:val="00D52BB7"/>
    <w:rsid w:val="00D55F0D"/>
    <w:rsid w:val="00D5627D"/>
    <w:rsid w:val="00D56D93"/>
    <w:rsid w:val="00D57DA7"/>
    <w:rsid w:val="00D63C46"/>
    <w:rsid w:val="00D64797"/>
    <w:rsid w:val="00D64C28"/>
    <w:rsid w:val="00D65157"/>
    <w:rsid w:val="00D667A5"/>
    <w:rsid w:val="00D70208"/>
    <w:rsid w:val="00D71A0C"/>
    <w:rsid w:val="00D75098"/>
    <w:rsid w:val="00D7509D"/>
    <w:rsid w:val="00D7720D"/>
    <w:rsid w:val="00D80BC2"/>
    <w:rsid w:val="00D87FE7"/>
    <w:rsid w:val="00D929F5"/>
    <w:rsid w:val="00D93E0B"/>
    <w:rsid w:val="00D94BCD"/>
    <w:rsid w:val="00D97269"/>
    <w:rsid w:val="00D97783"/>
    <w:rsid w:val="00DA2653"/>
    <w:rsid w:val="00DA68BC"/>
    <w:rsid w:val="00DB215C"/>
    <w:rsid w:val="00DB2730"/>
    <w:rsid w:val="00DB31D0"/>
    <w:rsid w:val="00DB4813"/>
    <w:rsid w:val="00DB6917"/>
    <w:rsid w:val="00DB78BB"/>
    <w:rsid w:val="00DC36DF"/>
    <w:rsid w:val="00DC7AAF"/>
    <w:rsid w:val="00DD12DD"/>
    <w:rsid w:val="00DD1ECD"/>
    <w:rsid w:val="00DD2BAF"/>
    <w:rsid w:val="00DD2F16"/>
    <w:rsid w:val="00DD3CC2"/>
    <w:rsid w:val="00DD7E54"/>
    <w:rsid w:val="00DE00BA"/>
    <w:rsid w:val="00DE2F84"/>
    <w:rsid w:val="00DE3F54"/>
    <w:rsid w:val="00DE4AFE"/>
    <w:rsid w:val="00DE6992"/>
    <w:rsid w:val="00DE7631"/>
    <w:rsid w:val="00DF0F41"/>
    <w:rsid w:val="00DF2B0A"/>
    <w:rsid w:val="00DF47F2"/>
    <w:rsid w:val="00E00AD8"/>
    <w:rsid w:val="00E00BD0"/>
    <w:rsid w:val="00E0693A"/>
    <w:rsid w:val="00E07095"/>
    <w:rsid w:val="00E07E7A"/>
    <w:rsid w:val="00E10ED7"/>
    <w:rsid w:val="00E11A83"/>
    <w:rsid w:val="00E12606"/>
    <w:rsid w:val="00E1325F"/>
    <w:rsid w:val="00E145BD"/>
    <w:rsid w:val="00E1556A"/>
    <w:rsid w:val="00E16153"/>
    <w:rsid w:val="00E166D2"/>
    <w:rsid w:val="00E2180B"/>
    <w:rsid w:val="00E22552"/>
    <w:rsid w:val="00E22F12"/>
    <w:rsid w:val="00E23A6E"/>
    <w:rsid w:val="00E23A8E"/>
    <w:rsid w:val="00E262A7"/>
    <w:rsid w:val="00E26AF5"/>
    <w:rsid w:val="00E2700F"/>
    <w:rsid w:val="00E304D9"/>
    <w:rsid w:val="00E31302"/>
    <w:rsid w:val="00E32F8E"/>
    <w:rsid w:val="00E42D97"/>
    <w:rsid w:val="00E438EB"/>
    <w:rsid w:val="00E44983"/>
    <w:rsid w:val="00E449B2"/>
    <w:rsid w:val="00E45400"/>
    <w:rsid w:val="00E462B5"/>
    <w:rsid w:val="00E50889"/>
    <w:rsid w:val="00E5101E"/>
    <w:rsid w:val="00E566B5"/>
    <w:rsid w:val="00E600E0"/>
    <w:rsid w:val="00E62451"/>
    <w:rsid w:val="00E62D29"/>
    <w:rsid w:val="00E632BF"/>
    <w:rsid w:val="00E71DA3"/>
    <w:rsid w:val="00E72381"/>
    <w:rsid w:val="00E72767"/>
    <w:rsid w:val="00E729EB"/>
    <w:rsid w:val="00E73AEB"/>
    <w:rsid w:val="00E76E37"/>
    <w:rsid w:val="00E8273B"/>
    <w:rsid w:val="00E91667"/>
    <w:rsid w:val="00E927F8"/>
    <w:rsid w:val="00E93810"/>
    <w:rsid w:val="00E9481A"/>
    <w:rsid w:val="00EA07A2"/>
    <w:rsid w:val="00EA14E5"/>
    <w:rsid w:val="00EA5F67"/>
    <w:rsid w:val="00EB342A"/>
    <w:rsid w:val="00EB3C00"/>
    <w:rsid w:val="00EC0921"/>
    <w:rsid w:val="00EC4013"/>
    <w:rsid w:val="00EC4635"/>
    <w:rsid w:val="00EC7C80"/>
    <w:rsid w:val="00ED15DC"/>
    <w:rsid w:val="00ED1A48"/>
    <w:rsid w:val="00ED4546"/>
    <w:rsid w:val="00ED7E68"/>
    <w:rsid w:val="00EE01FD"/>
    <w:rsid w:val="00EE0432"/>
    <w:rsid w:val="00EE1EB3"/>
    <w:rsid w:val="00EE40E9"/>
    <w:rsid w:val="00EE5611"/>
    <w:rsid w:val="00EE5C82"/>
    <w:rsid w:val="00EE5F13"/>
    <w:rsid w:val="00EE7A37"/>
    <w:rsid w:val="00EF1119"/>
    <w:rsid w:val="00EF6DE1"/>
    <w:rsid w:val="00EF6E2E"/>
    <w:rsid w:val="00F00AFC"/>
    <w:rsid w:val="00F029A2"/>
    <w:rsid w:val="00F06FE7"/>
    <w:rsid w:val="00F07246"/>
    <w:rsid w:val="00F0780B"/>
    <w:rsid w:val="00F07FD7"/>
    <w:rsid w:val="00F1482F"/>
    <w:rsid w:val="00F16889"/>
    <w:rsid w:val="00F171ED"/>
    <w:rsid w:val="00F207C1"/>
    <w:rsid w:val="00F227AD"/>
    <w:rsid w:val="00F24C15"/>
    <w:rsid w:val="00F25B96"/>
    <w:rsid w:val="00F26854"/>
    <w:rsid w:val="00F27A63"/>
    <w:rsid w:val="00F3065E"/>
    <w:rsid w:val="00F403D6"/>
    <w:rsid w:val="00F41AC0"/>
    <w:rsid w:val="00F42066"/>
    <w:rsid w:val="00F4216D"/>
    <w:rsid w:val="00F425A6"/>
    <w:rsid w:val="00F470DD"/>
    <w:rsid w:val="00F47849"/>
    <w:rsid w:val="00F5007A"/>
    <w:rsid w:val="00F51875"/>
    <w:rsid w:val="00F519CD"/>
    <w:rsid w:val="00F55107"/>
    <w:rsid w:val="00F5722E"/>
    <w:rsid w:val="00F57574"/>
    <w:rsid w:val="00F57BC0"/>
    <w:rsid w:val="00F57FE6"/>
    <w:rsid w:val="00F66E50"/>
    <w:rsid w:val="00F67B7B"/>
    <w:rsid w:val="00F7061C"/>
    <w:rsid w:val="00F7391F"/>
    <w:rsid w:val="00F73E52"/>
    <w:rsid w:val="00F77346"/>
    <w:rsid w:val="00F8097C"/>
    <w:rsid w:val="00F8160A"/>
    <w:rsid w:val="00F82562"/>
    <w:rsid w:val="00F83735"/>
    <w:rsid w:val="00F845D4"/>
    <w:rsid w:val="00F856D5"/>
    <w:rsid w:val="00F86045"/>
    <w:rsid w:val="00F87947"/>
    <w:rsid w:val="00F90569"/>
    <w:rsid w:val="00F91400"/>
    <w:rsid w:val="00F91E45"/>
    <w:rsid w:val="00F957D8"/>
    <w:rsid w:val="00F975CC"/>
    <w:rsid w:val="00FA032C"/>
    <w:rsid w:val="00FA1739"/>
    <w:rsid w:val="00FA4464"/>
    <w:rsid w:val="00FA4B7B"/>
    <w:rsid w:val="00FA7326"/>
    <w:rsid w:val="00FA7855"/>
    <w:rsid w:val="00FB1850"/>
    <w:rsid w:val="00FB6324"/>
    <w:rsid w:val="00FC1EA3"/>
    <w:rsid w:val="00FC4352"/>
    <w:rsid w:val="00FC4579"/>
    <w:rsid w:val="00FC6083"/>
    <w:rsid w:val="00FD2E4F"/>
    <w:rsid w:val="00FD317F"/>
    <w:rsid w:val="00FD51F5"/>
    <w:rsid w:val="00FD5676"/>
    <w:rsid w:val="00FD58A0"/>
    <w:rsid w:val="00FD58EF"/>
    <w:rsid w:val="00FE1E6D"/>
    <w:rsid w:val="00FE25DB"/>
    <w:rsid w:val="00FE3F5E"/>
    <w:rsid w:val="00FE59FF"/>
    <w:rsid w:val="00FE60C3"/>
    <w:rsid w:val="00FE6E6A"/>
    <w:rsid w:val="00FF09DE"/>
    <w:rsid w:val="00FF38D7"/>
    <w:rsid w:val="00FF3E82"/>
    <w:rsid w:val="00FF44A1"/>
    <w:rsid w:val="00FF4AAD"/>
    <w:rsid w:val="00FF5662"/>
    <w:rsid w:val="00FF5D14"/>
    <w:rsid w:val="00FF6773"/>
    <w:rsid w:val="00FF680E"/>
    <w:rsid w:val="00FF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C9DEE1"/>
  <w15:docId w15:val="{AC826D49-A0F7-4A27-A9BB-86F79501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2E"/>
    <w:rPr>
      <w:rFonts w:ascii="Arial" w:hAnsi="Arial" w:cs="Arial"/>
      <w:color w:val="000000"/>
      <w:sz w:val="24"/>
      <w:lang w:val="en-AU" w:eastAsia="el-GR"/>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eastAsia="el-GR"/>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paragraph" w:styleId="Revision">
    <w:name w:val="Revision"/>
    <w:hidden/>
    <w:uiPriority w:val="99"/>
    <w:semiHidden/>
    <w:rsid w:val="00207033"/>
    <w:rPr>
      <w:rFonts w:ascii="Arial" w:hAnsi="Arial" w:cs="Arial"/>
      <w:color w:val="000000"/>
      <w:sz w:val="24"/>
      <w:lang w:val="en-AU" w:eastAsia="el-GR"/>
    </w:rPr>
  </w:style>
  <w:style w:type="paragraph" w:styleId="ListParagraph">
    <w:name w:val="List Paragraph"/>
    <w:basedOn w:val="Normal"/>
    <w:uiPriority w:val="34"/>
    <w:qFormat/>
    <w:rsid w:val="00D143D1"/>
    <w:pPr>
      <w:ind w:left="720"/>
      <w:contextualSpacing/>
    </w:pPr>
  </w:style>
  <w:style w:type="character" w:styleId="UnresolvedMention">
    <w:name w:val="Unresolved Mention"/>
    <w:basedOn w:val="DefaultParagraphFont"/>
    <w:uiPriority w:val="99"/>
    <w:semiHidden/>
    <w:unhideWhenUsed/>
    <w:rsid w:val="0034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07456">
      <w:bodyDiv w:val="1"/>
      <w:marLeft w:val="0"/>
      <w:marRight w:val="0"/>
      <w:marTop w:val="0"/>
      <w:marBottom w:val="0"/>
      <w:divBdr>
        <w:top w:val="none" w:sz="0" w:space="0" w:color="auto"/>
        <w:left w:val="none" w:sz="0" w:space="0" w:color="auto"/>
        <w:bottom w:val="none" w:sz="0" w:space="0" w:color="auto"/>
        <w:right w:val="none" w:sz="0" w:space="0" w:color="auto"/>
      </w:divBdr>
    </w:div>
    <w:div w:id="1137604793">
      <w:bodyDiv w:val="1"/>
      <w:marLeft w:val="0"/>
      <w:marRight w:val="0"/>
      <w:marTop w:val="0"/>
      <w:marBottom w:val="0"/>
      <w:divBdr>
        <w:top w:val="none" w:sz="0" w:space="0" w:color="auto"/>
        <w:left w:val="none" w:sz="0" w:space="0" w:color="auto"/>
        <w:bottom w:val="none" w:sz="0" w:space="0" w:color="auto"/>
        <w:right w:val="none" w:sz="0" w:space="0" w:color="auto"/>
      </w:divBdr>
    </w:div>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nkofgreece.gr/Publications/FINANCIAL_STABILITY_REVIEW_OCTOBER_2024_E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DAA_Forms_Attachments" ma:contentTypeID="0x0101006B5553C3EDA2D84591F13E6AB83077FA00C87A7145E565F445B0CA423B74FC5B2A" ma:contentTypeVersion="3" ma:contentTypeDescription="" ma:contentTypeScope="" ma:versionID="426ed46f23fba6d401bfffd76bec7c62">
  <xsd:schema xmlns:xsd="http://www.w3.org/2001/XMLSchema" xmlns:xs="http://www.w3.org/2001/XMLSchema" xmlns:p="http://schemas.microsoft.com/office/2006/metadata/properties" xmlns:ns2="affbdc7b-1773-4a70-a615-fbfa6c8a3310" targetNamespace="http://schemas.microsoft.com/office/2006/metadata/properties" ma:root="true" ma:fieldsID="4f8381c84eb4b89c4c9560b5586531a7" ns2:_="">
    <xsd:import namespace="affbdc7b-1773-4a70-a615-fbfa6c8a3310"/>
    <xsd:element name="properties">
      <xsd:complexType>
        <xsd:sequence>
          <xsd:element name="documentManagement">
            <xsd:complexType>
              <xsd:all>
                <xsd:element ref="ns2:SHDAA_Request_ID" minOccurs="0"/>
                <xsd:element ref="ns2:SHDA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bdc7b-1773-4a70-a615-fbfa6c8a3310" elementFormDefault="qualified">
    <xsd:import namespace="http://schemas.microsoft.com/office/2006/documentManagement/types"/>
    <xsd:import namespace="http://schemas.microsoft.com/office/infopath/2007/PartnerControls"/>
    <xsd:element name="SHDAA_Request_ID" ma:index="8" nillable="true" ma:displayName="SHDAA_Request_ID" ma:internalName="SHDAA_Request_ID">
      <xsd:simpleType>
        <xsd:restriction base="dms:Text">
          <xsd:maxLength value="255"/>
        </xsd:restriction>
      </xsd:simpleType>
    </xsd:element>
    <xsd:element name="SHDAA_Title" ma:index="9" nillable="true" ma:displayName="SHDAA_Title" ma:internalName="SHDAA_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DAA_Title xmlns="affbdc7b-1773-4a70-a615-fbfa6c8a3310" xsi:nil="true"/>
    <SHDAA_Request_ID xmlns="affbdc7b-1773-4a70-a615-fbfa6c8a331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57A6-7B50-49F1-987C-5908FAC54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bdc7b-1773-4a70-a615-fbfa6c8a3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90EFE-22D6-48F1-8A83-60B4FA5E194A}">
  <ds:schemaRefs>
    <ds:schemaRef ds:uri="http://schemas.microsoft.com/sharepoint/v3/contenttype/forms"/>
  </ds:schemaRefs>
</ds:datastoreItem>
</file>

<file path=customXml/itemProps3.xml><?xml version="1.0" encoding="utf-8"?>
<ds:datastoreItem xmlns:ds="http://schemas.openxmlformats.org/officeDocument/2006/customXml" ds:itemID="{B01613C5-4005-427D-A27D-55C0354872DE}">
  <ds:schemaRefs>
    <ds:schemaRef ds:uri="http://schemas.microsoft.com/office/2006/metadata/properties"/>
    <ds:schemaRef ds:uri="http://schemas.microsoft.com/office/infopath/2007/PartnerControls"/>
    <ds:schemaRef ds:uri="affbdc7b-1773-4a70-a615-fbfa6c8a3310"/>
  </ds:schemaRefs>
</ds:datastoreItem>
</file>

<file path=customXml/itemProps4.xml><?xml version="1.0" encoding="utf-8"?>
<ds:datastoreItem xmlns:ds="http://schemas.openxmlformats.org/officeDocument/2006/customXml" ds:itemID="{4FE47F26-59CA-44CA-B0CE-0E94FE90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4413</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Bank of Greece</Company>
  <LinksUpToDate>false</LinksUpToDate>
  <CharactersWithSpaces>5220</CharactersWithSpaces>
  <SharedDoc>false</SharedDoc>
  <HLinks>
    <vt:vector size="12" baseType="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Kostomoudis Konstantine</dc:creator>
  <cp:lastModifiedBy>Marmarou Ioanna</cp:lastModifiedBy>
  <cp:revision>5</cp:revision>
  <cp:lastPrinted>2024-10-21T11:20:00Z</cp:lastPrinted>
  <dcterms:created xsi:type="dcterms:W3CDTF">2024-10-21T14:10:00Z</dcterms:created>
  <dcterms:modified xsi:type="dcterms:W3CDTF">2024-10-22T10:04:00Z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0x0101006B5553C3EDA2D84591F13E6AB83077FA00C87A7145E565F445B0CA423B74FC5B2A</vt:lpwstr>
  </property>
</Properties>
</file>